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EF" w:rsidRPr="001A7ED2" w:rsidRDefault="00DB4F4F" w:rsidP="0049628E">
      <w:pPr>
        <w:jc w:val="center"/>
        <w:rPr>
          <w:b/>
          <w:sz w:val="28"/>
          <w:szCs w:val="28"/>
        </w:rPr>
      </w:pPr>
      <w:r>
        <w:rPr>
          <w:b/>
          <w:sz w:val="28"/>
          <w:szCs w:val="28"/>
        </w:rPr>
        <w:t>Elementi i k</w:t>
      </w:r>
      <w:r w:rsidR="00D146EF" w:rsidRPr="001A7ED2">
        <w:rPr>
          <w:b/>
          <w:sz w:val="28"/>
          <w:szCs w:val="28"/>
        </w:rPr>
        <w:t xml:space="preserve">riteriji vrednovanja u nastavi </w:t>
      </w:r>
      <w:r w:rsidR="004246D7" w:rsidRPr="001A7ED2">
        <w:rPr>
          <w:b/>
          <w:sz w:val="28"/>
          <w:szCs w:val="28"/>
        </w:rPr>
        <w:t>H</w:t>
      </w:r>
      <w:r w:rsidR="00D146EF" w:rsidRPr="001A7ED2">
        <w:rPr>
          <w:b/>
          <w:sz w:val="28"/>
          <w:szCs w:val="28"/>
        </w:rPr>
        <w:t>rvatskoga jezika</w:t>
      </w:r>
    </w:p>
    <w:p w:rsidR="0049628E" w:rsidRPr="001A7ED2" w:rsidRDefault="0049628E" w:rsidP="0049628E">
      <w:pPr>
        <w:jc w:val="center"/>
        <w:rPr>
          <w:rFonts w:cstheme="minorHAnsi"/>
          <w:b/>
        </w:rPr>
      </w:pPr>
    </w:p>
    <w:p w:rsidR="001A7ED2" w:rsidRPr="001A7ED2" w:rsidRDefault="001A7ED2" w:rsidP="001A7ED2">
      <w:pPr>
        <w:spacing w:line="276" w:lineRule="auto"/>
        <w:rPr>
          <w:rFonts w:cstheme="minorHAnsi"/>
          <w:b/>
          <w:bCs/>
        </w:rPr>
      </w:pPr>
      <w:r w:rsidRPr="001A7ED2">
        <w:rPr>
          <w:rFonts w:cstheme="minorHAnsi"/>
          <w:b/>
          <w:bCs/>
        </w:rPr>
        <w:t>ZAKONSKI OKVIR VREDNOVANJA</w:t>
      </w:r>
    </w:p>
    <w:p w:rsidR="001A7ED2" w:rsidRPr="001A7ED2" w:rsidRDefault="001A7ED2" w:rsidP="001A7ED2">
      <w:pPr>
        <w:pStyle w:val="Odlomakpopisa"/>
        <w:numPr>
          <w:ilvl w:val="0"/>
          <w:numId w:val="1"/>
        </w:numPr>
        <w:spacing w:line="276" w:lineRule="auto"/>
        <w:rPr>
          <w:rFonts w:asciiTheme="minorHAnsi" w:hAnsiTheme="minorHAnsi" w:cstheme="minorHAnsi"/>
          <w:bCs/>
          <w:sz w:val="22"/>
          <w:szCs w:val="22"/>
        </w:rPr>
      </w:pPr>
      <w:r w:rsidRPr="001A7ED2">
        <w:rPr>
          <w:rFonts w:asciiTheme="minorHAnsi" w:hAnsiTheme="minorHAnsi" w:cstheme="minorHAnsi"/>
          <w:bCs/>
          <w:sz w:val="22"/>
          <w:szCs w:val="22"/>
        </w:rPr>
        <w:t>Pravilnik o načinima, postupcima i elementima vrednovanja učenika u osnovnoj i srednjoj školi, NN 112/2010</w:t>
      </w:r>
    </w:p>
    <w:p w:rsidR="001A7ED2" w:rsidRPr="001A7ED2" w:rsidRDefault="00A80CE7" w:rsidP="001A7ED2">
      <w:pPr>
        <w:pStyle w:val="Odlomakpopisa"/>
        <w:spacing w:line="276" w:lineRule="auto"/>
        <w:rPr>
          <w:rFonts w:asciiTheme="minorHAnsi" w:hAnsiTheme="minorHAnsi" w:cstheme="minorHAnsi"/>
          <w:b/>
          <w:sz w:val="22"/>
          <w:szCs w:val="22"/>
        </w:rPr>
      </w:pPr>
      <w:hyperlink r:id="rId5" w:history="1">
        <w:r w:rsidR="001A7ED2" w:rsidRPr="001A7ED2">
          <w:rPr>
            <w:rStyle w:val="Hiperveza"/>
            <w:rFonts w:asciiTheme="minorHAnsi" w:hAnsiTheme="minorHAnsi" w:cstheme="minorHAnsi"/>
            <w:b/>
            <w:sz w:val="22"/>
            <w:szCs w:val="22"/>
          </w:rPr>
          <w:t>https://narodne-novine.nn.hr/clanci/sluzbeni/2010_09_112_2973.html</w:t>
        </w:r>
      </w:hyperlink>
    </w:p>
    <w:p w:rsidR="001A7ED2" w:rsidRPr="001A7ED2" w:rsidRDefault="001A7ED2" w:rsidP="001A7ED2">
      <w:pPr>
        <w:pStyle w:val="Odlomakpopisa"/>
        <w:numPr>
          <w:ilvl w:val="0"/>
          <w:numId w:val="1"/>
        </w:numPr>
        <w:spacing w:line="276" w:lineRule="auto"/>
        <w:rPr>
          <w:rFonts w:asciiTheme="minorHAnsi" w:hAnsiTheme="minorHAnsi" w:cstheme="minorHAnsi"/>
          <w:bCs/>
          <w:sz w:val="22"/>
          <w:szCs w:val="22"/>
        </w:rPr>
      </w:pPr>
      <w:r w:rsidRPr="001A7ED2">
        <w:rPr>
          <w:rFonts w:asciiTheme="minorHAnsi" w:hAnsiTheme="minorHAnsi" w:cstheme="minorHAnsi"/>
          <w:bCs/>
          <w:sz w:val="22"/>
          <w:szCs w:val="22"/>
        </w:rPr>
        <w:t>Pravilnik o izmjenama i dopuni Pravilnika o načinima, postupcima i elementima vrednovanja učenika u osnovnim i srednjim školama, NN 82/2019, NN 43/2020, NN 100/2021</w:t>
      </w:r>
    </w:p>
    <w:p w:rsidR="001A7ED2" w:rsidRPr="001A7ED2" w:rsidRDefault="00A80CE7" w:rsidP="001A7ED2">
      <w:pPr>
        <w:pStyle w:val="Odlomakpopisa"/>
        <w:spacing w:line="276" w:lineRule="auto"/>
        <w:rPr>
          <w:rStyle w:val="Hiperveza"/>
          <w:rFonts w:asciiTheme="minorHAnsi" w:hAnsiTheme="minorHAnsi" w:cstheme="minorHAnsi"/>
          <w:b/>
          <w:sz w:val="22"/>
          <w:szCs w:val="22"/>
        </w:rPr>
      </w:pPr>
      <w:hyperlink r:id="rId6" w:history="1">
        <w:r w:rsidR="001A7ED2" w:rsidRPr="001A7ED2">
          <w:rPr>
            <w:rStyle w:val="Hiperveza"/>
            <w:rFonts w:asciiTheme="minorHAnsi" w:hAnsiTheme="minorHAnsi" w:cstheme="minorHAnsi"/>
            <w:b/>
            <w:sz w:val="22"/>
            <w:szCs w:val="22"/>
          </w:rPr>
          <w:t>https://narodne-novine.nn.hr/clanci/sluzbeni/2019_09_82_1709.html</w:t>
        </w:r>
      </w:hyperlink>
    </w:p>
    <w:p w:rsidR="001A7ED2" w:rsidRPr="001A7ED2" w:rsidRDefault="00A80CE7" w:rsidP="001A7ED2">
      <w:pPr>
        <w:pStyle w:val="Odlomakpopisa"/>
        <w:spacing w:line="276" w:lineRule="auto"/>
        <w:rPr>
          <w:rStyle w:val="Hiperveza"/>
          <w:rFonts w:asciiTheme="minorHAnsi" w:hAnsiTheme="minorHAnsi" w:cstheme="minorHAnsi"/>
          <w:b/>
          <w:sz w:val="22"/>
          <w:szCs w:val="22"/>
        </w:rPr>
      </w:pPr>
      <w:hyperlink r:id="rId7" w:history="1">
        <w:r w:rsidR="001A7ED2" w:rsidRPr="001A7ED2">
          <w:rPr>
            <w:rStyle w:val="Hiperveza"/>
            <w:rFonts w:asciiTheme="minorHAnsi" w:hAnsiTheme="minorHAnsi" w:cstheme="minorHAnsi"/>
            <w:b/>
            <w:sz w:val="22"/>
            <w:szCs w:val="22"/>
          </w:rPr>
          <w:t>https://narodne-novine.nn.hr/clanci/sluzbeni/2020_04_43_898.html</w:t>
        </w:r>
      </w:hyperlink>
    </w:p>
    <w:p w:rsidR="001A7ED2" w:rsidRPr="001A7ED2" w:rsidRDefault="00A80CE7" w:rsidP="001A7ED2">
      <w:pPr>
        <w:pStyle w:val="Odlomakpopisa"/>
        <w:spacing w:line="276" w:lineRule="auto"/>
        <w:rPr>
          <w:rStyle w:val="Hiperveza"/>
          <w:rFonts w:asciiTheme="minorHAnsi" w:hAnsiTheme="minorHAnsi" w:cstheme="minorHAnsi"/>
          <w:b/>
          <w:sz w:val="22"/>
          <w:szCs w:val="22"/>
        </w:rPr>
      </w:pPr>
      <w:hyperlink r:id="rId8" w:history="1">
        <w:r w:rsidR="001A7ED2" w:rsidRPr="001A7ED2">
          <w:rPr>
            <w:rStyle w:val="Hiperveza"/>
            <w:rFonts w:asciiTheme="minorHAnsi" w:hAnsiTheme="minorHAnsi" w:cstheme="minorHAnsi"/>
            <w:b/>
            <w:sz w:val="22"/>
            <w:szCs w:val="22"/>
          </w:rPr>
          <w:t>https://narodne-novine.nn.hr/clanci/sluzbeni/2021_09_100_1801.html</w:t>
        </w:r>
      </w:hyperlink>
    </w:p>
    <w:p w:rsidR="001A7ED2" w:rsidRPr="001A7ED2" w:rsidRDefault="001A7ED2" w:rsidP="001A7ED2">
      <w:pPr>
        <w:pStyle w:val="Odlomakpopisa"/>
        <w:numPr>
          <w:ilvl w:val="0"/>
          <w:numId w:val="1"/>
        </w:numPr>
        <w:spacing w:line="276" w:lineRule="auto"/>
        <w:rPr>
          <w:rFonts w:asciiTheme="minorHAnsi" w:hAnsiTheme="minorHAnsi" w:cstheme="minorHAnsi"/>
          <w:bCs/>
          <w:sz w:val="22"/>
          <w:szCs w:val="22"/>
        </w:rPr>
      </w:pPr>
      <w:proofErr w:type="spellStart"/>
      <w:r w:rsidRPr="001A7ED2">
        <w:rPr>
          <w:rFonts w:asciiTheme="minorHAnsi" w:hAnsiTheme="minorHAnsi" w:cstheme="minorHAnsi"/>
          <w:bCs/>
          <w:sz w:val="22"/>
          <w:szCs w:val="22"/>
        </w:rPr>
        <w:t>Kurikul</w:t>
      </w:r>
      <w:proofErr w:type="spellEnd"/>
      <w:r w:rsidRPr="001A7ED2">
        <w:rPr>
          <w:rFonts w:asciiTheme="minorHAnsi" w:hAnsiTheme="minorHAnsi" w:cstheme="minorHAnsi"/>
          <w:bCs/>
          <w:sz w:val="22"/>
          <w:szCs w:val="22"/>
        </w:rPr>
        <w:t xml:space="preserve"> za nastavni predmet Hrvatski jezik za osnovne škole i gimnazije u Republici Hrvatskoj, NN 10/2019 (29.1.2019.)</w:t>
      </w:r>
    </w:p>
    <w:bookmarkStart w:id="0" w:name="_Hlk178075723"/>
    <w:p w:rsidR="001A7ED2" w:rsidRPr="001A7ED2" w:rsidRDefault="001A7ED2" w:rsidP="001A7ED2">
      <w:pPr>
        <w:ind w:firstLine="708"/>
        <w:jc w:val="both"/>
      </w:pPr>
      <w:r w:rsidRPr="001A7ED2">
        <w:rPr>
          <w:rFonts w:eastAsia="Times New Roman" w:cstheme="minorHAnsi"/>
          <w:b/>
          <w:lang w:eastAsia="hr-HR"/>
        </w:rPr>
        <w:fldChar w:fldCharType="begin"/>
      </w:r>
      <w:r w:rsidRPr="001A7ED2">
        <w:rPr>
          <w:rFonts w:eastAsia="Times New Roman" w:cstheme="minorHAnsi"/>
          <w:b/>
          <w:lang w:eastAsia="hr-HR"/>
        </w:rPr>
        <w:instrText xml:space="preserve"> HYPERLINK "https://narodne-novine.nn.hr/clanci/sluzbeni/2019_01_10_215.html" </w:instrText>
      </w:r>
      <w:r w:rsidRPr="001A7ED2">
        <w:rPr>
          <w:rFonts w:eastAsia="Times New Roman" w:cstheme="minorHAnsi"/>
          <w:b/>
          <w:lang w:eastAsia="hr-HR"/>
        </w:rPr>
        <w:fldChar w:fldCharType="separate"/>
      </w:r>
      <w:r w:rsidRPr="001A7ED2">
        <w:rPr>
          <w:rStyle w:val="Hiperveza"/>
          <w:rFonts w:eastAsia="Times New Roman" w:cstheme="minorHAnsi"/>
          <w:b/>
          <w:lang w:eastAsia="hr-HR"/>
        </w:rPr>
        <w:t>https://narodne-novine.nn.hr/clanci/sluzbeni/2019_01_10_215.html</w:t>
      </w:r>
      <w:r w:rsidRPr="001A7ED2">
        <w:rPr>
          <w:rFonts w:eastAsia="Times New Roman" w:cstheme="minorHAnsi"/>
          <w:b/>
          <w:lang w:eastAsia="hr-HR"/>
        </w:rPr>
        <w:fldChar w:fldCharType="end"/>
      </w:r>
      <w:r w:rsidRPr="001A7ED2">
        <w:rPr>
          <w:rFonts w:eastAsia="Times New Roman" w:cstheme="minorHAnsi"/>
          <w:b/>
          <w:lang w:eastAsia="hr-HR"/>
        </w:rPr>
        <w:t xml:space="preserve"> </w:t>
      </w:r>
    </w:p>
    <w:bookmarkEnd w:id="0"/>
    <w:p w:rsidR="001A7ED2" w:rsidRDefault="001A7ED2">
      <w:pPr>
        <w:rPr>
          <w:b/>
        </w:rPr>
      </w:pPr>
    </w:p>
    <w:p w:rsidR="001A7ED2" w:rsidRDefault="001A7ED2" w:rsidP="001A7ED2">
      <w:pPr>
        <w:jc w:val="both"/>
      </w:pPr>
      <w:r w:rsidRPr="00A97C7C">
        <w:rPr>
          <w:b/>
        </w:rPr>
        <w:t>Svrha</w:t>
      </w:r>
      <w:r w:rsidRPr="001A7ED2">
        <w:t xml:space="preserve"> je učenja i poučavanja nastavnog predmeta Hrvatski jezik osposobljavanje učenika za jasno, točno i prikladno sporazumijevanje hrvatskim standardnim jezikom, usvajanje znanja o jeziku kao sustavu, slobodno izražavanje misli, osjećaja i stavova te spoznavanje vlastitoga, narodnog i nacionalnog jezično-kulturnog identiteta. Učenicima se omogućuje primanje, razumijevanje, vrednovanje i stvaranje različitih govornih i pisanih tekstova primjenom komunikacijskih strategija. Učeniku je jezik najčešće sredstvo samospoznaje i spoznaje svijeta koji ga okružuje, a vještine slušanja, govorenja, čitanja, pisanja i njihova međudjelovanja pridonose njegovoj osobnoj dobrobiti i omogućuju mu djelovanje u osobnim, društvenim, kulturnim i poslovnim prigodama.</w:t>
      </w:r>
    </w:p>
    <w:p w:rsidR="001A7ED2" w:rsidRDefault="001A7ED2" w:rsidP="001A7ED2">
      <w:pPr>
        <w:jc w:val="both"/>
      </w:pPr>
    </w:p>
    <w:p w:rsidR="001A7ED2" w:rsidRPr="001A7ED2" w:rsidRDefault="001A7ED2" w:rsidP="001A7ED2">
      <w:pPr>
        <w:jc w:val="both"/>
        <w:rPr>
          <w:b/>
        </w:rPr>
      </w:pPr>
      <w:r w:rsidRPr="001A7ED2">
        <w:rPr>
          <w:b/>
        </w:rPr>
        <w:t>ODGOJNO-OBRAZOVNI CILJEVI UČENJA I POUČAVANJA</w:t>
      </w:r>
    </w:p>
    <w:p w:rsidR="001A7ED2" w:rsidRDefault="001A7ED2" w:rsidP="001A7ED2">
      <w:pPr>
        <w:jc w:val="both"/>
      </w:pPr>
      <w:r>
        <w:t>Učenik: ovladava temeljnim jezičnim djelatnostima slušanja, govorenja, čitanja, pisanja te njihovim međudjelovanjem, jezičnim znanjem i znanjem o hrvatskome jeziku kao sustavu; stvara pisane i govorne tekstove različitih sadržaja, struktura, namjena i stilova te razvija aktivan rječnik; stječe naviku i potrebu za čitanjem i pisanjem različitih neprekinutih, isprekidanih, mješovitih i višestrukih tekstova u osobne i javne svrhe; čita i interpretira reprezentativne tekstove hrvatske i svjetske književnosti na temelju osobnoga čitateljskoga iskustva i znanja o književnosti te razvija kritičko mišljenje i literarni ukus; otkriva različite načine čitanja razvijajući iskustva čitanja koja oblikuju i preoblikuju osobna iskustva te otvaraju nove perspektive, potiču razvoj literarnoga ukusa, mašte i refleksiju o svijetu, sebi i drugima; pronalazi u različitim izvorima sadržaje i informacije o kojima kritički promišlja, procjenjuje njihovu pouzdanost i korisnost, prepoznaje kontekst i namjeru autora te funkcionalno primjenjuje višestruku pismenost, samostalno rješava probleme i donosi odluke; razvija vlastiti jezično-kulturni identitet komunikacijom na jednom ili više djelatnih jezičnih idioma hrvatskoga jezika, poštuje različite jezične i kulturne zajednice i njihove vrijednosti, jača nacionalni identitet i pripadnost narodu i državi upoznavanjem i njegovanjem kulturno-povijesne baštine te izgrađuje vlastiti svjetonazor i njeguje moralne i estetske vrijednosti.</w:t>
      </w:r>
    </w:p>
    <w:p w:rsidR="001A7ED2" w:rsidRDefault="001A7ED2" w:rsidP="001A7ED2">
      <w:pPr>
        <w:jc w:val="both"/>
      </w:pPr>
    </w:p>
    <w:p w:rsidR="001A7ED2" w:rsidRPr="001A7ED2" w:rsidRDefault="001A7ED2" w:rsidP="001A7ED2">
      <w:pPr>
        <w:jc w:val="both"/>
        <w:rPr>
          <w:b/>
        </w:rPr>
      </w:pPr>
      <w:r w:rsidRPr="001A7ED2">
        <w:rPr>
          <w:b/>
        </w:rPr>
        <w:lastRenderedPageBreak/>
        <w:t>STRUKTURA – PODRUČJA PREDMETNOG KURIKULA</w:t>
      </w:r>
    </w:p>
    <w:p w:rsidR="001A7ED2" w:rsidRDefault="001A7ED2" w:rsidP="001A7ED2">
      <w:pPr>
        <w:jc w:val="both"/>
      </w:pPr>
      <w:r>
        <w:t xml:space="preserve">Predmet Hrvatski jezik organiziran je u tri međusobna povezana predmetna područja: </w:t>
      </w:r>
      <w:r w:rsidRPr="00E547F3">
        <w:rPr>
          <w:b/>
        </w:rPr>
        <w:t>hrvatski jezik i komunikacija, književnost i stvaralaštvo, kultura i mediji.</w:t>
      </w:r>
      <w:r w:rsidR="00DB4F4F">
        <w:t xml:space="preserve"> Okvirna postotna zastupljenost predmetnih područja: hrvatski jezik i komunikacija 45-50%, književnost i stvaralaštvo 40-45%, kultura i mediji 10-15%. Dozvoljeno je odstupanje</w:t>
      </w:r>
      <w:r w:rsidR="00A710E0">
        <w:t xml:space="preserve"> od preporučene postotne zastupljenosti do 10%</w:t>
      </w:r>
      <w:r w:rsidR="00DB4F4F">
        <w:t>.</w:t>
      </w:r>
    </w:p>
    <w:p w:rsidR="001A7ED2" w:rsidRDefault="001A7ED2" w:rsidP="001A7ED2">
      <w:pPr>
        <w:jc w:val="both"/>
      </w:pPr>
    </w:p>
    <w:p w:rsidR="001A7ED2" w:rsidRPr="001A7ED2" w:rsidRDefault="001A7ED2" w:rsidP="001A7ED2">
      <w:pPr>
        <w:jc w:val="both"/>
        <w:rPr>
          <w:b/>
        </w:rPr>
      </w:pPr>
      <w:r w:rsidRPr="001A7ED2">
        <w:rPr>
          <w:b/>
        </w:rPr>
        <w:t>ODGOJNO-OBRAZOVNI ISHODI, SADRŽAJI I RAZINE USVOJENOSTI PO RAZREDIMA I ORGANIZACIJSKIM PODRUČJIMA</w:t>
      </w:r>
    </w:p>
    <w:p w:rsidR="001A7ED2" w:rsidRDefault="001A7ED2" w:rsidP="001A7ED2">
      <w:pPr>
        <w:jc w:val="both"/>
      </w:pPr>
      <w:r>
        <w:t>Odgojno-obrazovni ishodi proširuju se i produbljuju načelom vertikalno-spiralnoga slijeda od prvoga razreda osnovne škole do završnoga razreda srednje škole pa se pojedine sastavnice razrade ishoda podrazumijevaju kao usvojene i ne ponavljaju se.</w:t>
      </w:r>
    </w:p>
    <w:p w:rsidR="00DB4F4F" w:rsidRDefault="001A7ED2" w:rsidP="001A7ED2">
      <w:pPr>
        <w:jc w:val="both"/>
      </w:pPr>
      <w:r>
        <w:t xml:space="preserve">Sastavnice razrade ishoda proširuju se, produbljuju i razvijaju kompleksnijim sadržajima i aktivnostima, a učenicima se učenjem i poučavanjem omogućuje uvježbavanje i utvrđivanje znanja, automatizacija vještina </w:t>
      </w:r>
      <w:r w:rsidR="00F123D7">
        <w:t>te</w:t>
      </w:r>
      <w:r>
        <w:t xml:space="preserve"> razvoj stavova i vrijednosti. Odgojno-obrazovne ishode čine tri sastavnice: odgojno-obrazovni ishod, razrada ishoda i razine usvojenosti ishoda. </w:t>
      </w:r>
    </w:p>
    <w:p w:rsidR="00DB4F4F" w:rsidRPr="001A7ED2" w:rsidRDefault="00DB4F4F" w:rsidP="00DB4F4F">
      <w:pPr>
        <w:jc w:val="both"/>
      </w:pPr>
      <w:r>
        <w:t xml:space="preserve">Više o ishodima, sadržajima i razinama usvojenosti pročitati u </w:t>
      </w:r>
      <w:proofErr w:type="spellStart"/>
      <w:r>
        <w:t>kurikulu</w:t>
      </w:r>
      <w:proofErr w:type="spellEnd"/>
      <w:r>
        <w:t xml:space="preserve"> predmeta: </w:t>
      </w:r>
      <w:hyperlink r:id="rId9" w:history="1">
        <w:r w:rsidRPr="00961207">
          <w:rPr>
            <w:rStyle w:val="Hiperveza"/>
            <w:rFonts w:eastAsia="Times New Roman" w:cstheme="minorHAnsi"/>
            <w:b/>
            <w:lang w:eastAsia="hr-HR"/>
          </w:rPr>
          <w:t>https://narodne-novine.nn.hr/clanci/sluzbeni/2019_01_10_215.html</w:t>
        </w:r>
      </w:hyperlink>
      <w:r w:rsidRPr="001A7ED2">
        <w:rPr>
          <w:rFonts w:eastAsia="Times New Roman" w:cstheme="minorHAnsi"/>
          <w:b/>
          <w:lang w:eastAsia="hr-HR"/>
        </w:rPr>
        <w:t xml:space="preserve"> </w:t>
      </w:r>
    </w:p>
    <w:p w:rsidR="00DB4F4F" w:rsidRDefault="00DB4F4F" w:rsidP="001A7ED2">
      <w:pPr>
        <w:jc w:val="both"/>
      </w:pPr>
    </w:p>
    <w:p w:rsidR="00DB4F4F" w:rsidRPr="00DB4F4F" w:rsidRDefault="00DB4F4F" w:rsidP="00DB4F4F">
      <w:pPr>
        <w:jc w:val="both"/>
        <w:rPr>
          <w:b/>
        </w:rPr>
      </w:pPr>
      <w:r w:rsidRPr="00DB4F4F">
        <w:rPr>
          <w:b/>
        </w:rPr>
        <w:t>VREDNOVANJE USVOJENOSTI ODGOJNO-OBRAZOVNIH ISHODA</w:t>
      </w:r>
    </w:p>
    <w:p w:rsidR="00DB4F4F" w:rsidRDefault="00DB4F4F" w:rsidP="00DB4F4F">
      <w:pPr>
        <w:jc w:val="both"/>
      </w:pPr>
      <w:r>
        <w:t>Svrha je procesa vrednovanja dvojaka. Vrednovanje motivira učenika na daljnji rad, a ujedno je povratna informacija učenicima, nastavnicima, roditeljima, obrazovnim institucijama i prosvjetnim vlastima.</w:t>
      </w:r>
    </w:p>
    <w:p w:rsidR="00DB4F4F" w:rsidRDefault="00DB4F4F" w:rsidP="00DB4F4F">
      <w:pPr>
        <w:jc w:val="both"/>
      </w:pPr>
      <w:r w:rsidRPr="00E547F3">
        <w:rPr>
          <w:b/>
        </w:rPr>
        <w:t>Sastavnice vrednovanja</w:t>
      </w:r>
      <w:r>
        <w:t xml:space="preserve"> u predmetu proizlaze iz odgojno-obrazovnih ishoda organiziranih u trima predmetnim područjima: hrvatski jezik i komunikacija (A), književnost i stvaralaštvo (B) </w:t>
      </w:r>
      <w:r w:rsidR="00F123D7">
        <w:t xml:space="preserve">te </w:t>
      </w:r>
      <w:r>
        <w:t>kultura i mediji (C).</w:t>
      </w:r>
    </w:p>
    <w:p w:rsidR="00E547F3" w:rsidRDefault="00DB4F4F" w:rsidP="00DB4F4F">
      <w:pPr>
        <w:jc w:val="both"/>
      </w:pPr>
      <w:r w:rsidRPr="00DB4F4F">
        <w:rPr>
          <w:b/>
        </w:rPr>
        <w:t>Sastavnice vrednovanja obuhvaćaju:</w:t>
      </w:r>
      <w:r>
        <w:t xml:space="preserve"> stečena znanja o jeziku, književnosti, medijskoj, kulturnoj i međukulturnoj pismenosti; sposobnost razumijevanja jezičnih, književnih i kulturnih koncepata kojima se znanja usustavljuju </w:t>
      </w:r>
      <w:r w:rsidR="00877DD3">
        <w:t>te</w:t>
      </w:r>
      <w:r>
        <w:t xml:space="preserve"> međusobno povezuju i isprepliću u predmetu Hrvatski jezik (</w:t>
      </w:r>
      <w:proofErr w:type="spellStart"/>
      <w:r>
        <w:t>unutarpredmetno</w:t>
      </w:r>
      <w:proofErr w:type="spellEnd"/>
      <w:r>
        <w:t xml:space="preserve"> povezivanje)</w:t>
      </w:r>
      <w:r w:rsidR="00877DD3">
        <w:t>, ali i</w:t>
      </w:r>
      <w:r>
        <w:t xml:space="preserve"> s </w:t>
      </w:r>
      <w:proofErr w:type="spellStart"/>
      <w:r>
        <w:t>međupredmetnim</w:t>
      </w:r>
      <w:proofErr w:type="spellEnd"/>
      <w:r>
        <w:t xml:space="preserve"> temama </w:t>
      </w:r>
      <w:r w:rsidR="00877DD3">
        <w:t>te</w:t>
      </w:r>
      <w:r>
        <w:t xml:space="preserve"> drugim predmetima po načelu </w:t>
      </w:r>
      <w:proofErr w:type="spellStart"/>
      <w:r>
        <w:t>međupredmetne</w:t>
      </w:r>
      <w:proofErr w:type="spellEnd"/>
      <w:r>
        <w:t xml:space="preserve"> povezanosti; primjenu znanja i koncepata na razini analize i sinteze te stvaranje novih znanja i koncepata. Vrednovanje može biti formativno i </w:t>
      </w:r>
      <w:proofErr w:type="spellStart"/>
      <w:r>
        <w:t>sumativno</w:t>
      </w:r>
      <w:proofErr w:type="spellEnd"/>
      <w:r w:rsidR="00E547F3">
        <w:t xml:space="preserve"> (</w:t>
      </w:r>
      <w:r>
        <w:t xml:space="preserve">brojčanom ocjenom </w:t>
      </w:r>
      <w:r w:rsidR="00E547F3">
        <w:t>i</w:t>
      </w:r>
      <w:r>
        <w:t xml:space="preserve"> bilješkom</w:t>
      </w:r>
      <w:r w:rsidR="00E547F3">
        <w:t>)</w:t>
      </w:r>
      <w:r>
        <w:t>.</w:t>
      </w:r>
    </w:p>
    <w:p w:rsidR="00E547F3" w:rsidRDefault="00E547F3" w:rsidP="00DB4F4F">
      <w:pPr>
        <w:jc w:val="both"/>
      </w:pPr>
    </w:p>
    <w:p w:rsidR="001D3E3C" w:rsidRDefault="00DB4F4F" w:rsidP="00DB4F4F">
      <w:pPr>
        <w:jc w:val="both"/>
      </w:pPr>
      <w:r w:rsidRPr="00DB4F4F">
        <w:rPr>
          <w:b/>
        </w:rPr>
        <w:t>Tri su osnova pristupa vrednovanju:</w:t>
      </w:r>
      <w:r>
        <w:t xml:space="preserve"> vrednovanje za učenje, vrednovanje kao učenje i vrednovanje naučenoga.</w:t>
      </w:r>
    </w:p>
    <w:p w:rsidR="00DB4F4F" w:rsidRDefault="00DB4F4F" w:rsidP="00DB4F4F">
      <w:pPr>
        <w:jc w:val="both"/>
      </w:pPr>
      <w:r w:rsidRPr="00DB4F4F">
        <w:rPr>
          <w:b/>
        </w:rPr>
        <w:t>Vrednovanje za učenje</w:t>
      </w:r>
      <w:r>
        <w:t xml:space="preserve"> služi unapređivanju i planiranju budućega učenja i poučavanja. Temelji se na povratnoj informaciji učeniku i razmjeni iskustava (učitelj i nastavnik – učenik i učenik – učenik) o procesima učenja te usvojenosti znanja, vještina i stavova u odnosu na postavljena očekivanja. Motivira učenike na daljnji rad.</w:t>
      </w:r>
      <w:r w:rsidR="0090058F">
        <w:t xml:space="preserve"> </w:t>
      </w:r>
      <w:r w:rsidRPr="0090058F">
        <w:rPr>
          <w:b/>
        </w:rPr>
        <w:t>Oblici su vrednovanja:</w:t>
      </w:r>
      <w:r>
        <w:t xml:space="preserve"> provjera razumijevanja i učenikova napredovanja ciljanim pitanjima, vođenje individualnih savjetodavnih i refleksivnih razgovora s učenicima, predstavljanje učeničkih radova, uvid u učeničke mape (uvidom u učeničke uratke, prikupljane tijekom </w:t>
      </w:r>
      <w:r>
        <w:lastRenderedPageBreak/>
        <w:t>dužega razdoblja, prati se učenikov napredak), predstavljanje učeničkih projekata, opažanja učeničkih aktivnosti i ponašanja tijekom učenja i poučavanja (frontalno, individualno i suradničko).</w:t>
      </w:r>
    </w:p>
    <w:p w:rsidR="00DB4F4F" w:rsidRDefault="00DB4F4F" w:rsidP="00DB4F4F">
      <w:pPr>
        <w:jc w:val="both"/>
      </w:pPr>
      <w:r w:rsidRPr="00DB4F4F">
        <w:rPr>
          <w:b/>
        </w:rPr>
        <w:t>Vrednovanje kao učenje</w:t>
      </w:r>
      <w:r>
        <w:t xml:space="preserve"> učenika potiče na (samo)praćenje, (samo)refleksiju i </w:t>
      </w:r>
      <w:proofErr w:type="spellStart"/>
      <w:r>
        <w:t>samovrednovanje</w:t>
      </w:r>
      <w:proofErr w:type="spellEnd"/>
      <w:r>
        <w:t xml:space="preserve"> učenja s obzirom na ciljeve postavljene na početku nastavnoga procesa. Učenjem i poučavanjem učenike se usmjerava na ovladavanje strategijama nadgledanja, planiranja i </w:t>
      </w:r>
      <w:proofErr w:type="spellStart"/>
      <w:r>
        <w:t>samoreguliranja</w:t>
      </w:r>
      <w:proofErr w:type="spellEnd"/>
      <w:r>
        <w:t xml:space="preserve"> vlastitoga napredovanja u usvajanju znanja, vještina i stavova radi postizanja samostalnosti i preuzimanja odgovornosti za vlastito učenje.</w:t>
      </w:r>
      <w:r w:rsidR="0090058F">
        <w:t xml:space="preserve"> </w:t>
      </w:r>
      <w:r w:rsidRPr="0090058F">
        <w:rPr>
          <w:b/>
        </w:rPr>
        <w:t>Oblici su vrednovanja:</w:t>
      </w:r>
      <w:r>
        <w:t xml:space="preserve"> vođenje individualnih savjetodavnih i refleksivnih razgovora s učenicima, služenje popisima za (samo)procjenu znanja, vještina i sposobnosti, popisima kompetencija za osobnu </w:t>
      </w:r>
      <w:proofErr w:type="spellStart"/>
      <w:r>
        <w:t>samoprocjenu</w:t>
      </w:r>
      <w:proofErr w:type="spellEnd"/>
      <w:r>
        <w:t xml:space="preserve"> i praćenje, obrascima za (samo)procjenu predstavljačkih uradaka, </w:t>
      </w:r>
      <w:proofErr w:type="spellStart"/>
      <w:r>
        <w:t>opisnicima</w:t>
      </w:r>
      <w:proofErr w:type="spellEnd"/>
      <w:r>
        <w:t xml:space="preserve"> za (samo)procjenu suradničkoga učenja, upitnicima, tablicama, ljestvicama procjene, planovima učenja i njegova ostvarivanja.</w:t>
      </w:r>
    </w:p>
    <w:p w:rsidR="00DB4F4F" w:rsidRDefault="00DB4F4F" w:rsidP="00DB4F4F">
      <w:pPr>
        <w:jc w:val="both"/>
      </w:pPr>
      <w:r w:rsidRPr="00DB4F4F">
        <w:rPr>
          <w:b/>
        </w:rPr>
        <w:t>Vrednovanje naučenoga</w:t>
      </w:r>
      <w:r>
        <w:t xml:space="preserve"> podrazumijeva </w:t>
      </w:r>
      <w:proofErr w:type="spellStart"/>
      <w:r>
        <w:t>sumativno</w:t>
      </w:r>
      <w:proofErr w:type="spellEnd"/>
      <w:r>
        <w:t xml:space="preserve"> vrednovanje razine usvojenosti znanja i razvijenosti vještina u odnosu na definirane odgojno-obrazovne ishode, njihovu razradu te razine usvojenosti. Provodi se tijekom ili na kraju određenoga planiranog razdoblja: obrade, ponavljanja, uvježbavanja, usustavljivanja i sintetiziranja radi provjere ostvarivanja planiranih odgojno-obrazovnih ishoda i rezultira brojčanom ocjenom.</w:t>
      </w:r>
      <w:r w:rsidR="0090058F">
        <w:t xml:space="preserve"> </w:t>
      </w:r>
      <w:r>
        <w:t xml:space="preserve">Odgojno-obrazovni ishodi, razrada ishoda i ključni sadržaji te razina usvojenosti »dobar« određenoga odgojno-obrazovnog ishoda na kraju razreda nalaze se u predmetnom </w:t>
      </w:r>
      <w:proofErr w:type="spellStart"/>
      <w:r>
        <w:t>kurikulu</w:t>
      </w:r>
      <w:proofErr w:type="spellEnd"/>
      <w:r>
        <w:t xml:space="preserve">, a ostale razine usvojenosti odgojno-obrazovnoga ishoda navode se u metodičkome priručniku predmetnoga </w:t>
      </w:r>
      <w:proofErr w:type="spellStart"/>
      <w:r>
        <w:t>kurikula</w:t>
      </w:r>
      <w:proofErr w:type="spellEnd"/>
      <w:r>
        <w:t>.</w:t>
      </w:r>
      <w:r w:rsidR="0090058F">
        <w:t xml:space="preserve"> </w:t>
      </w:r>
      <w:r w:rsidRPr="0090058F">
        <w:rPr>
          <w:b/>
        </w:rPr>
        <w:t>Oblici su vrednovanja:</w:t>
      </w:r>
      <w:r>
        <w:t xml:space="preserve"> usmene provjere, pisane provjere zadatcima zatvorenoga i /ili otvorenog tipa; predstavljanja ili izvedbe: govorni i razgovorni oblici, praktični radovi, projekti; učeničke mape i sl. Provode se prema potrebi/planu i individualnoj procjeni učitelja i nastavnika.</w:t>
      </w:r>
    </w:p>
    <w:p w:rsidR="0090058F" w:rsidRDefault="0090058F" w:rsidP="00DB4F4F">
      <w:pPr>
        <w:jc w:val="both"/>
      </w:pPr>
    </w:p>
    <w:p w:rsidR="001A7F11" w:rsidRDefault="00DB4F4F" w:rsidP="00DB4F4F">
      <w:pPr>
        <w:jc w:val="both"/>
      </w:pPr>
      <w:r w:rsidRPr="00DB4F4F">
        <w:rPr>
          <w:b/>
        </w:rPr>
        <w:t>Zaključna ocjena</w:t>
      </w:r>
      <w:r>
        <w:t xml:space="preserve"> oblikuje se na temelju što više različitih informacija o učenikovu ostvarivanju odgojno-obrazovnih ishoda. Zaključna ocjena </w:t>
      </w:r>
      <w:r w:rsidRPr="001A7F11">
        <w:rPr>
          <w:b/>
        </w:rPr>
        <w:t>nije aritmetička sredina</w:t>
      </w:r>
      <w:r>
        <w:t xml:space="preserve"> pojedinačnih ocjena, već je pokazatelj učenikova napretka u učenju i razvijenosti razumijevanja, vještina i sposobnosti izricanja kritičkoga i stvaralačkoga mišljenja, vrijednosti i stavova. Svi su elementi vrednovanja </w:t>
      </w:r>
      <w:r w:rsidRPr="006A133A">
        <w:rPr>
          <w:b/>
        </w:rPr>
        <w:t>jednako vrijedni</w:t>
      </w:r>
      <w:r>
        <w:t xml:space="preserve"> pri određivanju zaključne ocjene. </w:t>
      </w:r>
    </w:p>
    <w:p w:rsidR="00DB4F4F" w:rsidRDefault="00DB4F4F" w:rsidP="00DB4F4F">
      <w:pPr>
        <w:jc w:val="both"/>
      </w:pPr>
      <w:r>
        <w:t xml:space="preserve">O podatcima o učenikovu postignuću i uradcima u predmetu, uloženome trudu, sudjelovanju, suradnji i odgovornosti </w:t>
      </w:r>
      <w:r w:rsidRPr="00492F2E">
        <w:rPr>
          <w:b/>
        </w:rPr>
        <w:t>izvješćuje se</w:t>
      </w:r>
      <w:r>
        <w:t xml:space="preserve"> zasebno, osim o elementima koji su izravno ugrađeni u odgojno-obrazovne ishode.</w:t>
      </w:r>
      <w:r w:rsidR="001A7F11">
        <w:t xml:space="preserve"> </w:t>
      </w:r>
      <w:r>
        <w:t>Izvješćivanje je informiranje o postignućima i napretku učenika, može biti formalno (izvješće o praćenju, dodatak svjedodžbi, napomena u svjedodžbi, podatci i bilješke u e-Matici) i neformalno (razgovori i razmjena informacija između različitih subjekata, npr. mentora i roditelja).</w:t>
      </w:r>
    </w:p>
    <w:p w:rsidR="00DB4F4F" w:rsidRPr="001A7ED2" w:rsidRDefault="00DB4F4F" w:rsidP="00DB4F4F">
      <w:pPr>
        <w:jc w:val="both"/>
      </w:pPr>
      <w:r>
        <w:t xml:space="preserve">Kao numerički pokazatelj </w:t>
      </w:r>
      <w:r w:rsidRPr="00492F2E">
        <w:rPr>
          <w:b/>
        </w:rPr>
        <w:t>razine usvojenosti odgojno-obrazovnih ishoda</w:t>
      </w:r>
      <w:r>
        <w:t xml:space="preserve"> definiranih </w:t>
      </w:r>
      <w:proofErr w:type="spellStart"/>
      <w:r>
        <w:t>kurikulom</w:t>
      </w:r>
      <w:proofErr w:type="spellEnd"/>
      <w:r>
        <w:t xml:space="preserve"> zadržava se ljestvica školskih ocjena od pet stupnjeva. </w:t>
      </w:r>
      <w:r w:rsidR="00171EA0">
        <w:t>Zaključna</w:t>
      </w:r>
      <w:r>
        <w:t xml:space="preserve"> ocjena izriče se riječju i brojkom (nedovoljan – 1, dovoljan – 2, dobar – 3, vrlo dobar – 4, odličan – 5).</w:t>
      </w:r>
    </w:p>
    <w:p w:rsidR="004246D7" w:rsidRDefault="004246D7" w:rsidP="00D146EF">
      <w:pPr>
        <w:jc w:val="both"/>
      </w:pPr>
    </w:p>
    <w:p w:rsidR="001A7F11" w:rsidRDefault="001A7F11" w:rsidP="00D146EF">
      <w:pPr>
        <w:jc w:val="both"/>
      </w:pPr>
    </w:p>
    <w:p w:rsidR="001A7F11" w:rsidRDefault="001A7F11" w:rsidP="00D146EF">
      <w:pPr>
        <w:jc w:val="both"/>
      </w:pPr>
    </w:p>
    <w:p w:rsidR="001A7F11" w:rsidRDefault="001A7F11" w:rsidP="00D146EF">
      <w:pPr>
        <w:jc w:val="both"/>
      </w:pPr>
    </w:p>
    <w:p w:rsidR="001A7F11" w:rsidRPr="00430811" w:rsidRDefault="001A7F11" w:rsidP="00D146EF">
      <w:pPr>
        <w:jc w:val="both"/>
      </w:pPr>
    </w:p>
    <w:p w:rsidR="00335C06" w:rsidRPr="00335C06" w:rsidRDefault="00335C06" w:rsidP="00D146EF">
      <w:pPr>
        <w:jc w:val="both"/>
        <w:rPr>
          <w:b/>
        </w:rPr>
      </w:pPr>
      <w:r w:rsidRPr="00335C06">
        <w:rPr>
          <w:b/>
        </w:rPr>
        <w:lastRenderedPageBreak/>
        <w:t>Pisane provjere</w:t>
      </w:r>
      <w:r w:rsidR="00171EA0">
        <w:rPr>
          <w:b/>
        </w:rPr>
        <w:t>:</w:t>
      </w:r>
    </w:p>
    <w:p w:rsidR="00171EA0" w:rsidRPr="00171EA0" w:rsidRDefault="001A7F11" w:rsidP="00D146EF">
      <w:pPr>
        <w:jc w:val="both"/>
        <w:rPr>
          <w:b/>
        </w:rPr>
      </w:pPr>
      <w:r>
        <w:rPr>
          <w:b/>
        </w:rPr>
        <w:t xml:space="preserve">1) </w:t>
      </w:r>
      <w:r w:rsidR="00335C06" w:rsidRPr="00430811">
        <w:rPr>
          <w:b/>
        </w:rPr>
        <w:t>Vezani tekst</w:t>
      </w:r>
      <w:r w:rsidR="00171EA0">
        <w:rPr>
          <w:b/>
        </w:rPr>
        <w:t xml:space="preserve"> –  </w:t>
      </w:r>
      <w:r w:rsidR="00171EA0">
        <w:t>t</w:t>
      </w:r>
      <w:r w:rsidR="00335C06">
        <w:t xml:space="preserve">ijekom školske godine pišu se </w:t>
      </w:r>
      <w:r w:rsidR="00430811">
        <w:t xml:space="preserve">minimalno </w:t>
      </w:r>
      <w:r w:rsidR="00FF53F7">
        <w:t>dva vezana teksta</w:t>
      </w:r>
      <w:r w:rsidR="00492F2E">
        <w:t xml:space="preserve"> ovisna o</w:t>
      </w:r>
      <w:r w:rsidR="00FF53F7">
        <w:t xml:space="preserve"> nastavno</w:t>
      </w:r>
      <w:r w:rsidR="00492F2E">
        <w:t>me</w:t>
      </w:r>
      <w:r w:rsidR="00FF53F7">
        <w:t xml:space="preserve"> područj</w:t>
      </w:r>
      <w:r w:rsidR="00492F2E">
        <w:t>u</w:t>
      </w:r>
      <w:r w:rsidR="00FF53F7">
        <w:t xml:space="preserve"> koje se obrađuje. </w:t>
      </w:r>
      <w:r w:rsidR="00611BA4">
        <w:t xml:space="preserve">Vezani se tekstovi vrednuju prema </w:t>
      </w:r>
      <w:proofErr w:type="spellStart"/>
      <w:r w:rsidR="00611BA4">
        <w:t>opisnicima</w:t>
      </w:r>
      <w:proofErr w:type="spellEnd"/>
      <w:r w:rsidR="00611BA4">
        <w:t xml:space="preserve"> koji su učenicima unaprijed poznati.</w:t>
      </w:r>
    </w:p>
    <w:p w:rsidR="00430811" w:rsidRDefault="001A7F11" w:rsidP="00D146EF">
      <w:pPr>
        <w:jc w:val="both"/>
      </w:pPr>
      <w:r>
        <w:rPr>
          <w:b/>
        </w:rPr>
        <w:t xml:space="preserve">2) </w:t>
      </w:r>
      <w:r w:rsidR="00335C06" w:rsidRPr="00430811">
        <w:rPr>
          <w:b/>
        </w:rPr>
        <w:t xml:space="preserve">Ispiti znanja sa zadacima objektivnoga tipa (ZOT) </w:t>
      </w:r>
      <w:r w:rsidR="00171EA0">
        <w:rPr>
          <w:b/>
        </w:rPr>
        <w:t xml:space="preserve"> - </w:t>
      </w:r>
      <w:r w:rsidR="00171EA0">
        <w:t>t</w:t>
      </w:r>
      <w:r w:rsidR="00335C06">
        <w:t>ijekom školske godine pišu se najmanje dvije, a najviše pet pisanih provjera sa zadacima objektivnoga tipa. Broj pisanih provjera ovisi o broju nastavnih cjelina u pojedinom</w:t>
      </w:r>
      <w:r w:rsidR="00492F2E">
        <w:t>e</w:t>
      </w:r>
      <w:r w:rsidR="00335C06">
        <w:t xml:space="preserve"> razredu te</w:t>
      </w:r>
      <w:r w:rsidR="00F94407">
        <w:t xml:space="preserve"> o potrebama razrednih odjela. </w:t>
      </w:r>
      <w:r w:rsidR="00335C06">
        <w:t>Ispitima znanja obuhvaćeno je sve gradivo jezika i jezičnoga izražavanja</w:t>
      </w:r>
      <w:r w:rsidR="00430811">
        <w:t>, ali i</w:t>
      </w:r>
      <w:r w:rsidR="00335C06">
        <w:t xml:space="preserve"> književnosti </w:t>
      </w:r>
      <w:r w:rsidR="00430811">
        <w:t>te</w:t>
      </w:r>
      <w:r w:rsidR="00335C06">
        <w:t xml:space="preserve"> medijske kulture. Pisane provjere sa zadacima objektivnoga tipa vrednuju se, u pravilu, prema sljedećoj bodovnoj </w:t>
      </w:r>
      <w:r w:rsidR="00FF53F7">
        <w:t>ljestvici</w:t>
      </w:r>
      <w:r w:rsidR="00335C06">
        <w:t xml:space="preserve">: </w:t>
      </w:r>
      <w:r w:rsidR="00FF53F7" w:rsidRPr="00FF53F7">
        <w:t>do 49% nedovoljan, 50-62% dovoljan, 63-75% dobar, 76-88% vrlo dobar, 89-100% odličan</w:t>
      </w:r>
      <w:r w:rsidR="00FF53F7">
        <w:t>.</w:t>
      </w:r>
      <w:r w:rsidR="00171EA0">
        <w:rPr>
          <w:b/>
        </w:rPr>
        <w:t xml:space="preserve"> </w:t>
      </w:r>
      <w:r w:rsidR="00335C06">
        <w:t xml:space="preserve">Iznimno, bodovna </w:t>
      </w:r>
      <w:r w:rsidR="00FF53F7">
        <w:t>ljestvica</w:t>
      </w:r>
      <w:r w:rsidR="00335C06">
        <w:t xml:space="preserve"> može biti i promijenjena radi motivacije</w:t>
      </w:r>
      <w:r w:rsidR="005829DC">
        <w:t xml:space="preserve"> i bolje uspješnosti</w:t>
      </w:r>
      <w:r w:rsidR="00335C06">
        <w:t xml:space="preserve"> učenika. </w:t>
      </w:r>
    </w:p>
    <w:p w:rsidR="001A7F11" w:rsidRDefault="001A7F11" w:rsidP="00D146EF">
      <w:pPr>
        <w:jc w:val="both"/>
        <w:rPr>
          <w:b/>
        </w:rPr>
      </w:pPr>
    </w:p>
    <w:p w:rsidR="001A7F11" w:rsidRPr="001A7F11" w:rsidRDefault="001A7F11" w:rsidP="00D146EF">
      <w:pPr>
        <w:jc w:val="both"/>
      </w:pPr>
      <w:r w:rsidRPr="001A7F11">
        <w:t xml:space="preserve">Osim pisanih provjera toga tipa, </w:t>
      </w:r>
      <w:r w:rsidR="00492F2E">
        <w:t>vrednovati</w:t>
      </w:r>
      <w:r w:rsidRPr="001A7F11">
        <w:t xml:space="preserve"> se mog</w:t>
      </w:r>
      <w:r>
        <w:t>u još i kratke provjere te radovi učenika.</w:t>
      </w:r>
    </w:p>
    <w:p w:rsidR="00FF53F7" w:rsidRPr="00171EA0" w:rsidRDefault="001A7F11" w:rsidP="00D146EF">
      <w:pPr>
        <w:jc w:val="both"/>
        <w:rPr>
          <w:b/>
        </w:rPr>
      </w:pPr>
      <w:r>
        <w:rPr>
          <w:b/>
        </w:rPr>
        <w:t xml:space="preserve">1) </w:t>
      </w:r>
      <w:r w:rsidR="00335C06" w:rsidRPr="00430811">
        <w:rPr>
          <w:b/>
        </w:rPr>
        <w:t xml:space="preserve">Kratke provjere </w:t>
      </w:r>
      <w:r w:rsidR="00171EA0">
        <w:rPr>
          <w:b/>
        </w:rPr>
        <w:t xml:space="preserve"> - </w:t>
      </w:r>
      <w:r>
        <w:t>učenici</w:t>
      </w:r>
      <w:r w:rsidR="00335C06">
        <w:t xml:space="preserve"> </w:t>
      </w:r>
      <w:r w:rsidR="00FF53F7">
        <w:t xml:space="preserve">mogu </w:t>
      </w:r>
      <w:r w:rsidR="00335C06">
        <w:t>pi</w:t>
      </w:r>
      <w:r w:rsidR="00FF53F7">
        <w:t>sati</w:t>
      </w:r>
      <w:r w:rsidR="00335C06">
        <w:t xml:space="preserve"> i kratke provjere, koje </w:t>
      </w:r>
      <w:r w:rsidR="004246D7">
        <w:t>nastavnik</w:t>
      </w:r>
      <w:r w:rsidR="00F94407">
        <w:t xml:space="preserve"> najavljuje najmanje tjedan</w:t>
      </w:r>
      <w:r w:rsidR="00335C06">
        <w:t xml:space="preserve"> dana prije njihove provedbe</w:t>
      </w:r>
      <w:r>
        <w:t xml:space="preserve">. </w:t>
      </w:r>
      <w:r w:rsidR="00335C06">
        <w:t>Kratkim se provjerama ne smatra pisanje vezanoga teksta</w:t>
      </w:r>
      <w:r w:rsidR="00430811">
        <w:t>,</w:t>
      </w:r>
      <w:r w:rsidR="00335C06">
        <w:t xml:space="preserve"> vo</w:t>
      </w:r>
      <w:r w:rsidR="00430811">
        <w:t>đ</w:t>
      </w:r>
      <w:r w:rsidR="00335C06">
        <w:t xml:space="preserve">ena analiza </w:t>
      </w:r>
      <w:proofErr w:type="spellStart"/>
      <w:r w:rsidR="00335C06">
        <w:t>književnoumjetničkih</w:t>
      </w:r>
      <w:proofErr w:type="spellEnd"/>
      <w:r w:rsidR="00335C06">
        <w:t xml:space="preserve"> i drugih djela (uz pitanja za usmjereni rad), rješavanje zadataka u radnoj bilježnici na satu nakon sata obrade pojedine nastavne jedinice, rješavanje zadataka na ploči tijekom usmene provjere znanja te pisane domaće zadaće. Navedene se provjere (koje nisu kratke provjere) mogu izvoditi na svakome ili na većini nastavnih sati s usmenom najavom. Navedeno se može </w:t>
      </w:r>
      <w:r w:rsidR="00492F2E">
        <w:t>vrednovati</w:t>
      </w:r>
      <w:r w:rsidR="00335C06">
        <w:t xml:space="preserve"> i upisati u rubrike nastavnih područja na koje se učenički uradak odnosi. </w:t>
      </w:r>
    </w:p>
    <w:p w:rsidR="00430811" w:rsidRDefault="001A7F11" w:rsidP="00D146EF">
      <w:pPr>
        <w:jc w:val="both"/>
      </w:pPr>
      <w:r>
        <w:rPr>
          <w:b/>
        </w:rPr>
        <w:t xml:space="preserve">2) </w:t>
      </w:r>
      <w:r w:rsidR="00335C06" w:rsidRPr="00430811">
        <w:rPr>
          <w:b/>
        </w:rPr>
        <w:t>Samostalni radovi učenika</w:t>
      </w:r>
      <w:r w:rsidR="00171EA0">
        <w:rPr>
          <w:b/>
        </w:rPr>
        <w:t xml:space="preserve"> / </w:t>
      </w:r>
      <w:r w:rsidR="00335C06" w:rsidRPr="00430811">
        <w:rPr>
          <w:b/>
        </w:rPr>
        <w:t xml:space="preserve"> </w:t>
      </w:r>
      <w:r w:rsidR="00A80CE7">
        <w:rPr>
          <w:b/>
        </w:rPr>
        <w:t>vrednovanje</w:t>
      </w:r>
      <w:r w:rsidR="00171EA0" w:rsidRPr="00430811">
        <w:rPr>
          <w:b/>
        </w:rPr>
        <w:t xml:space="preserve"> u skupnome radu </w:t>
      </w:r>
      <w:r w:rsidR="00171EA0">
        <w:rPr>
          <w:b/>
        </w:rPr>
        <w:t xml:space="preserve"> </w:t>
      </w:r>
      <w:r w:rsidR="00171EA0">
        <w:t>- t</w:t>
      </w:r>
      <w:r w:rsidR="00F94407">
        <w:t>ijekom rada u školi</w:t>
      </w:r>
      <w:r w:rsidR="00335C06">
        <w:t xml:space="preserve"> na satima koje je </w:t>
      </w:r>
      <w:r w:rsidR="004246D7">
        <w:t xml:space="preserve">nastavnik </w:t>
      </w:r>
      <w:r w:rsidR="00335C06">
        <w:t>tako isplanirao, ili u radu kod kuće</w:t>
      </w:r>
      <w:r w:rsidR="00F94407">
        <w:t>,</w:t>
      </w:r>
      <w:r w:rsidR="00335C06">
        <w:t xml:space="preserve"> učenici mogu, prema uputi </w:t>
      </w:r>
      <w:r w:rsidR="004246D7">
        <w:t>nastavnika</w:t>
      </w:r>
      <w:r w:rsidR="00335C06">
        <w:t xml:space="preserve"> ili na vlastitu inicijativu, samostalno stvarati plakate, stripove, </w:t>
      </w:r>
      <w:proofErr w:type="spellStart"/>
      <w:r w:rsidR="00335C06">
        <w:t>slikokaze</w:t>
      </w:r>
      <w:proofErr w:type="spellEnd"/>
      <w:r w:rsidR="00335C06">
        <w:t>, izlaganja i stvarati druge vrste uradaka</w:t>
      </w:r>
      <w:r w:rsidR="00F449D3">
        <w:t xml:space="preserve"> te </w:t>
      </w:r>
      <w:r w:rsidR="00335C06">
        <w:t xml:space="preserve">sudjelovati u samostalnim ili zajedničkim projektima. </w:t>
      </w:r>
      <w:r w:rsidR="004246D7">
        <w:t>Nastavnik</w:t>
      </w:r>
      <w:r w:rsidR="00335C06">
        <w:t xml:space="preserve"> može vrednovati takav učenički uradak brojčanom </w:t>
      </w:r>
      <w:bookmarkStart w:id="1" w:name="_GoBack"/>
      <w:r w:rsidR="00335C06">
        <w:t>oc</w:t>
      </w:r>
      <w:bookmarkEnd w:id="1"/>
      <w:r w:rsidR="00335C06">
        <w:t>jenom</w:t>
      </w:r>
      <w:r w:rsidR="00F94407">
        <w:t>, ali i bilješkom</w:t>
      </w:r>
      <w:r w:rsidR="00171EA0">
        <w:t>.</w:t>
      </w:r>
      <w:r w:rsidR="00335C06">
        <w:t xml:space="preserve"> </w:t>
      </w:r>
    </w:p>
    <w:p w:rsidR="001A7F11" w:rsidRPr="00171EA0" w:rsidRDefault="001A7F11" w:rsidP="00D146EF">
      <w:pPr>
        <w:jc w:val="both"/>
        <w:rPr>
          <w:b/>
        </w:rPr>
      </w:pPr>
    </w:p>
    <w:p w:rsidR="001A7F11" w:rsidRDefault="00335C06" w:rsidP="00D146EF">
      <w:pPr>
        <w:jc w:val="both"/>
        <w:rPr>
          <w:b/>
        </w:rPr>
      </w:pPr>
      <w:r w:rsidRPr="00430811">
        <w:rPr>
          <w:b/>
        </w:rPr>
        <w:t>Usmene provjere</w:t>
      </w:r>
      <w:r w:rsidR="001A7F11">
        <w:rPr>
          <w:b/>
        </w:rPr>
        <w:t>:</w:t>
      </w:r>
    </w:p>
    <w:p w:rsidR="00430811" w:rsidRPr="00171EA0" w:rsidRDefault="001A7F11" w:rsidP="00D146EF">
      <w:pPr>
        <w:jc w:val="both"/>
        <w:rPr>
          <w:b/>
        </w:rPr>
      </w:pPr>
      <w:r w:rsidRPr="001A7F11">
        <w:t>U</w:t>
      </w:r>
      <w:r w:rsidR="00335C06">
        <w:t xml:space="preserve">smena provjera može se provesti s prethodnom najavom ili bez nje. Učenik se za usmenu provjeru može javiti i samoinicijativno. </w:t>
      </w:r>
    </w:p>
    <w:p w:rsidR="001A7F11" w:rsidRDefault="001A7F11" w:rsidP="00D146EF">
      <w:pPr>
        <w:jc w:val="both"/>
      </w:pPr>
    </w:p>
    <w:p w:rsidR="00430811" w:rsidRDefault="00335C06" w:rsidP="00D146EF">
      <w:pPr>
        <w:jc w:val="both"/>
      </w:pPr>
      <w:r w:rsidRPr="00430811">
        <w:rPr>
          <w:b/>
        </w:rPr>
        <w:t xml:space="preserve">Opisno </w:t>
      </w:r>
      <w:r w:rsidR="00492F2E">
        <w:rPr>
          <w:b/>
        </w:rPr>
        <w:t>vrednovanje</w:t>
      </w:r>
      <w:r w:rsidR="00171EA0">
        <w:rPr>
          <w:b/>
        </w:rPr>
        <w:t xml:space="preserve">: </w:t>
      </w:r>
      <w:r>
        <w:t xml:space="preserve">Opisne se ocjene upisuju u rubriku </w:t>
      </w:r>
      <w:r w:rsidR="00171EA0">
        <w:t>Bilješke</w:t>
      </w:r>
      <w:r>
        <w:t xml:space="preserve">. </w:t>
      </w:r>
      <w:r w:rsidR="004246D7">
        <w:t>Nastavnik</w:t>
      </w:r>
      <w:r>
        <w:t xml:space="preserve"> opisnim ocjenama </w:t>
      </w:r>
      <w:r w:rsidR="00492F2E">
        <w:t>vrednuje</w:t>
      </w:r>
      <w:r>
        <w:t xml:space="preserve"> napredak učenika u stjecanju znanja i vještina, razvoj funkcionalnih sposobnosti i interesa, upisuje zapažanja o eventualnim poteškoćama u učenju</w:t>
      </w:r>
      <w:r w:rsidR="00FF53F7">
        <w:t xml:space="preserve"> te o</w:t>
      </w:r>
      <w:r>
        <w:t xml:space="preserve"> iznimnom napretku u nekom području. U tu se rubriku upisuju i zapažanja o učeničkoj aktivnosti na satu</w:t>
      </w:r>
      <w:r w:rsidR="00FF53F7">
        <w:t xml:space="preserve"> ili </w:t>
      </w:r>
      <w:r>
        <w:t xml:space="preserve">redovitosti rada kod kuće (pisanju domaćih uradaka i učenju). </w:t>
      </w:r>
    </w:p>
    <w:p w:rsidR="001A7F11" w:rsidRDefault="001A7F11" w:rsidP="00D146EF">
      <w:pPr>
        <w:jc w:val="both"/>
        <w:rPr>
          <w:b/>
        </w:rPr>
      </w:pPr>
    </w:p>
    <w:p w:rsidR="001A7F11" w:rsidRDefault="001A7F11" w:rsidP="00D146EF">
      <w:pPr>
        <w:jc w:val="both"/>
        <w:rPr>
          <w:b/>
        </w:rPr>
      </w:pPr>
    </w:p>
    <w:p w:rsidR="001A7F11" w:rsidRDefault="001A7F11" w:rsidP="00D146EF">
      <w:pPr>
        <w:jc w:val="both"/>
        <w:rPr>
          <w:b/>
        </w:rPr>
      </w:pPr>
    </w:p>
    <w:p w:rsidR="00F449D3" w:rsidRPr="00171EA0" w:rsidRDefault="00F449D3" w:rsidP="00D146EF">
      <w:pPr>
        <w:jc w:val="both"/>
        <w:rPr>
          <w:b/>
        </w:rPr>
      </w:pPr>
    </w:p>
    <w:p w:rsidR="00430811" w:rsidRDefault="001A7F11" w:rsidP="00D146EF">
      <w:pPr>
        <w:jc w:val="both"/>
        <w:rPr>
          <w:b/>
        </w:rPr>
      </w:pPr>
      <w:r>
        <w:rPr>
          <w:b/>
        </w:rPr>
        <w:lastRenderedPageBreak/>
        <w:t>Zaključak Aktiva hrvatsko</w:t>
      </w:r>
      <w:r w:rsidR="00BB020E">
        <w:rPr>
          <w:b/>
        </w:rPr>
        <w:t>g</w:t>
      </w:r>
      <w:r>
        <w:rPr>
          <w:b/>
        </w:rPr>
        <w:t>a jezika</w:t>
      </w:r>
      <w:r w:rsidR="00BB020E">
        <w:rPr>
          <w:b/>
        </w:rPr>
        <w:t xml:space="preserve"> temeljen na </w:t>
      </w:r>
      <w:proofErr w:type="spellStart"/>
      <w:r w:rsidR="00BB020E">
        <w:rPr>
          <w:b/>
        </w:rPr>
        <w:t>kurikulu</w:t>
      </w:r>
      <w:proofErr w:type="spellEnd"/>
      <w:r>
        <w:rPr>
          <w:b/>
        </w:rPr>
        <w:t>:</w:t>
      </w:r>
    </w:p>
    <w:p w:rsidR="001A7F11" w:rsidRPr="00430811" w:rsidRDefault="001A7F11" w:rsidP="00D146EF">
      <w:pPr>
        <w:jc w:val="both"/>
        <w:rPr>
          <w:b/>
        </w:rPr>
      </w:pPr>
    </w:p>
    <w:p w:rsidR="00CF6ABB" w:rsidRDefault="00CF6ABB" w:rsidP="00D146EF">
      <w:pPr>
        <w:jc w:val="both"/>
      </w:pPr>
      <w:r>
        <w:t xml:space="preserve">Učenik na početku nastavne godine treba biti upoznat s elementima i kriterijima </w:t>
      </w:r>
      <w:r w:rsidR="001A7F11">
        <w:t>vrednovanj</w:t>
      </w:r>
      <w:r>
        <w:t xml:space="preserve">a </w:t>
      </w:r>
      <w:r w:rsidR="00171EA0">
        <w:t>predmetnoga</w:t>
      </w:r>
      <w:r>
        <w:t xml:space="preserve"> nastavnika</w:t>
      </w:r>
      <w:r w:rsidR="00BB020E">
        <w:t xml:space="preserve"> koji mu predaje</w:t>
      </w:r>
      <w:r>
        <w:t xml:space="preserve">. Područja </w:t>
      </w:r>
      <w:r w:rsidR="00BB020E">
        <w:t>vrednovanja</w:t>
      </w:r>
      <w:r>
        <w:t xml:space="preserve"> ne razlik</w:t>
      </w:r>
      <w:r w:rsidR="00BB020E">
        <w:t>uju</w:t>
      </w:r>
      <w:r>
        <w:t xml:space="preserve"> </w:t>
      </w:r>
      <w:r w:rsidR="00BB020E">
        <w:t xml:space="preserve">se </w:t>
      </w:r>
      <w:r>
        <w:t xml:space="preserve">unutar Aktiva hrvatskoga jezika </w:t>
      </w:r>
      <w:r w:rsidR="00833A06">
        <w:t xml:space="preserve">jer su </w:t>
      </w:r>
      <w:r>
        <w:t xml:space="preserve">propisana važećim pravilnicima i </w:t>
      </w:r>
      <w:proofErr w:type="spellStart"/>
      <w:r>
        <w:t>kurikulom</w:t>
      </w:r>
      <w:proofErr w:type="spellEnd"/>
      <w:r>
        <w:t xml:space="preserve">, no metode se rada </w:t>
      </w:r>
      <w:r w:rsidR="00F449D3">
        <w:t xml:space="preserve">i vrednovanja </w:t>
      </w:r>
      <w:r>
        <w:t>mogu razlikovati od nastavnika do nastavnika. Važno je da su učenici upoznati s</w:t>
      </w:r>
      <w:r w:rsidR="00F94407">
        <w:t xml:space="preserve">a svim elementima </w:t>
      </w:r>
      <w:r w:rsidR="00BB020E">
        <w:t>vrednovanja</w:t>
      </w:r>
      <w:r w:rsidR="00F94407">
        <w:t xml:space="preserve"> te </w:t>
      </w:r>
      <w:r>
        <w:t>metodama rada predmetnoga nastavnika na prvim nastavnim satima, najkasnije do kraja rujna.</w:t>
      </w:r>
    </w:p>
    <w:p w:rsidR="0049628E" w:rsidRDefault="0049628E" w:rsidP="00D146EF">
      <w:pPr>
        <w:jc w:val="both"/>
      </w:pPr>
      <w:r>
        <w:t xml:space="preserve">Sve </w:t>
      </w:r>
      <w:r w:rsidR="00CF6ABB">
        <w:t xml:space="preserve">su </w:t>
      </w:r>
      <w:r>
        <w:t>ocjene iz propisanih predmetnih područja</w:t>
      </w:r>
      <w:r w:rsidR="00CF6ABB">
        <w:t xml:space="preserve"> jednako važne te bi</w:t>
      </w:r>
      <w:r>
        <w:t xml:space="preserve"> trebale biti pozitivne i ispravljene.</w:t>
      </w:r>
      <w:r w:rsidR="00CF6ABB">
        <w:t xml:space="preserve"> </w:t>
      </w:r>
      <w:r w:rsidR="00BB020E">
        <w:t>U</w:t>
      </w:r>
      <w:r w:rsidR="00BB020E" w:rsidRPr="00BB020E">
        <w:t>koliko učenik nije ostvario propisani ishod (ishode) na zadovoljavajućoj razini, odnosno, dobio je ocjenu nedovoljan (1) na pisanoj provjeri, u dogovoru s nastavnikom ispravlja ocjenu (nakon analize razloga neuspjeha)</w:t>
      </w:r>
      <w:r w:rsidR="00BB020E">
        <w:t xml:space="preserve">. </w:t>
      </w:r>
      <w:r w:rsidR="001A7F11">
        <w:t>O načinima ispravljanja ocjena učenik se dogovara s predmetnim nastavnikom.</w:t>
      </w:r>
      <w:r w:rsidR="00BB020E">
        <w:t xml:space="preserve"> </w:t>
      </w:r>
      <w:r w:rsidR="00833A06">
        <w:t>O</w:t>
      </w:r>
      <w:r w:rsidR="00BB020E">
        <w:t xml:space="preserve">cjene iz svih nastavnih cjelina </w:t>
      </w:r>
      <w:r w:rsidR="00833A06">
        <w:t>trebale bi biti</w:t>
      </w:r>
      <w:r w:rsidR="00BB020E">
        <w:t xml:space="preserve"> pozitivne </w:t>
      </w:r>
      <w:r w:rsidR="00833A06">
        <w:t>jer</w:t>
      </w:r>
      <w:r w:rsidR="00BB020E">
        <w:t xml:space="preserve"> se gradivo nastavlja jedno na drugo</w:t>
      </w:r>
      <w:r w:rsidR="00F123D7" w:rsidRPr="00F123D7">
        <w:t xml:space="preserve"> </w:t>
      </w:r>
      <w:r w:rsidR="00F123D7">
        <w:t>vertikalno-spiralnim slijedom</w:t>
      </w:r>
      <w:r w:rsidR="00BB020E">
        <w:t>.</w:t>
      </w:r>
    </w:p>
    <w:p w:rsidR="00CF6ABB" w:rsidRDefault="00CF6ABB" w:rsidP="00D146EF">
      <w:pPr>
        <w:jc w:val="both"/>
      </w:pPr>
      <w:r>
        <w:t xml:space="preserve">Zaključna ocjena nije nužno aritmetička sredina ocjena iz rubrike, nego se izvodi iz svih elemenata. Vrednovanje se tijekom nastavne godine odvija formativno i </w:t>
      </w:r>
      <w:proofErr w:type="spellStart"/>
      <w:r>
        <w:t>sumativno</w:t>
      </w:r>
      <w:proofErr w:type="spellEnd"/>
      <w:r>
        <w:t>, što znači da uključuje brojčanu ocjenu iz triju glavnih rubrika, ali i bilješke. Zaključna ocjena iskazuje učenikovo znanje i trud tijekom cijele nastavne godine.</w:t>
      </w:r>
      <w:r w:rsidR="001A7F11">
        <w:t xml:space="preserve"> Zaključna ocjena proizlazi iz svih elemenata zapisanih u </w:t>
      </w:r>
      <w:r w:rsidR="00833A06">
        <w:t>e-</w:t>
      </w:r>
      <w:r w:rsidR="001A7F11">
        <w:t xml:space="preserve">dnevniku </w:t>
      </w:r>
      <w:r w:rsidR="00F449D3">
        <w:t>(</w:t>
      </w:r>
      <w:r w:rsidR="001A7F11">
        <w:t>i iz brojčane ocjene i iz bilježaka</w:t>
      </w:r>
      <w:r w:rsidR="00F449D3">
        <w:t>)</w:t>
      </w:r>
      <w:r w:rsidR="001A7F11">
        <w:t>.</w:t>
      </w:r>
    </w:p>
    <w:p w:rsidR="00BB020E" w:rsidRDefault="00BB020E" w:rsidP="00BB020E">
      <w:pPr>
        <w:jc w:val="both"/>
      </w:pPr>
      <w:r>
        <w:t xml:space="preserve">Ukoliko učenik ne ostvari ishode propisane </w:t>
      </w:r>
      <w:proofErr w:type="spellStart"/>
      <w:r>
        <w:t>kurikulom</w:t>
      </w:r>
      <w:proofErr w:type="spellEnd"/>
      <w:r>
        <w:t xml:space="preserve">, bit će upućen na dopunski rad koji će se održavati najmanje 10 sati (odluka se donosi na sjednici Nastavničkoga vijeća). Učenik koji je negativno ocijenjen na dopunskome radu uputit će se na polaganje popravnoga ispita. Način provedbe popravnoga ispita propisan je Statutom škole. </w:t>
      </w:r>
    </w:p>
    <w:p w:rsidR="00BB020E" w:rsidRDefault="00BB020E" w:rsidP="00D146EF">
      <w:pPr>
        <w:jc w:val="both"/>
      </w:pPr>
    </w:p>
    <w:p w:rsidR="001A7F11" w:rsidRDefault="001A7F11" w:rsidP="001A7F11">
      <w:pPr>
        <w:jc w:val="both"/>
      </w:pPr>
      <w:r>
        <w:t xml:space="preserve">Ostale informacije o ishodima i elementima vrednovanja učenik i roditelji mogu pročitati u propisanome </w:t>
      </w:r>
      <w:proofErr w:type="spellStart"/>
      <w:r>
        <w:t>kurikulu</w:t>
      </w:r>
      <w:proofErr w:type="spellEnd"/>
      <w:r>
        <w:t xml:space="preserve"> ( </w:t>
      </w:r>
      <w:hyperlink r:id="rId10" w:history="1">
        <w:r w:rsidRPr="00961207">
          <w:rPr>
            <w:rStyle w:val="Hiperveza"/>
          </w:rPr>
          <w:t>https://narodne-novine.nn.hr/clanci/sluzbeni/2019_01_10_215.html</w:t>
        </w:r>
      </w:hyperlink>
      <w:r>
        <w:t xml:space="preserve"> ), a informacije o uspješnosti učenika u nastavnome procesu mogu saznati od predmetnoga nastavnika u terminu informacija. </w:t>
      </w:r>
    </w:p>
    <w:p w:rsidR="001A7F11" w:rsidRDefault="001A7F11" w:rsidP="00D146EF">
      <w:pPr>
        <w:jc w:val="both"/>
      </w:pPr>
    </w:p>
    <w:p w:rsidR="00FF53F7" w:rsidRDefault="00FF53F7" w:rsidP="00D146EF">
      <w:pPr>
        <w:jc w:val="both"/>
      </w:pPr>
    </w:p>
    <w:p w:rsidR="0049628E" w:rsidRPr="0049628E" w:rsidRDefault="0049628E" w:rsidP="00CF6ABB">
      <w:pPr>
        <w:jc w:val="right"/>
      </w:pPr>
      <w:r>
        <w:rPr>
          <w:sz w:val="20"/>
          <w:szCs w:val="20"/>
        </w:rPr>
        <w:t xml:space="preserve">      </w:t>
      </w:r>
      <w:r w:rsidRPr="0049628E">
        <w:t xml:space="preserve">U ime Aktiva hrvatskoga jezika,  </w:t>
      </w:r>
      <w:r w:rsidRPr="0049628E">
        <w:rPr>
          <w:b/>
        </w:rPr>
        <w:t>Marta Narančić,</w:t>
      </w:r>
      <w:r w:rsidRPr="0049628E">
        <w:t xml:space="preserve"> magistra edukacije </w:t>
      </w:r>
      <w:r w:rsidR="00CF6ABB">
        <w:br/>
      </w:r>
      <w:r w:rsidRPr="0049628E">
        <w:t>hrvatskoga jezika i književnosti, voditeljica aktiva</w:t>
      </w:r>
    </w:p>
    <w:sectPr w:rsidR="0049628E" w:rsidRPr="00496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143BF"/>
    <w:multiLevelType w:val="hybridMultilevel"/>
    <w:tmpl w:val="695C8EE2"/>
    <w:lvl w:ilvl="0" w:tplc="041A000B">
      <w:start w:val="1"/>
      <w:numFmt w:val="bullet"/>
      <w:lvlText w:val=""/>
      <w:lvlJc w:val="left"/>
      <w:pPr>
        <w:tabs>
          <w:tab w:val="num" w:pos="720"/>
        </w:tabs>
        <w:ind w:left="720" w:hanging="360"/>
      </w:pPr>
      <w:rPr>
        <w:rFonts w:ascii="Wingdings" w:hAnsi="Wingdings" w:hint="default"/>
      </w:rPr>
    </w:lvl>
    <w:lvl w:ilvl="1" w:tplc="7AA44B84">
      <w:start w:val="1"/>
      <w:numFmt w:val="bullet"/>
      <w:lvlText w:val=""/>
      <w:lvlJc w:val="left"/>
      <w:pPr>
        <w:tabs>
          <w:tab w:val="num" w:pos="1440"/>
        </w:tabs>
        <w:ind w:left="1440" w:hanging="360"/>
      </w:pPr>
      <w:rPr>
        <w:rFonts w:ascii="Wingdings" w:hAnsi="Wingdings" w:hint="default"/>
      </w:rPr>
    </w:lvl>
    <w:lvl w:ilvl="2" w:tplc="896A4726">
      <w:start w:val="1"/>
      <w:numFmt w:val="bullet"/>
      <w:lvlText w:val=""/>
      <w:lvlJc w:val="left"/>
      <w:pPr>
        <w:tabs>
          <w:tab w:val="num" w:pos="2160"/>
        </w:tabs>
        <w:ind w:left="2160" w:hanging="360"/>
      </w:pPr>
      <w:rPr>
        <w:rFonts w:ascii="Wingdings" w:hAnsi="Wingdings" w:hint="default"/>
      </w:rPr>
    </w:lvl>
    <w:lvl w:ilvl="3" w:tplc="EB524838">
      <w:start w:val="1"/>
      <w:numFmt w:val="bullet"/>
      <w:lvlText w:val=""/>
      <w:lvlJc w:val="left"/>
      <w:pPr>
        <w:tabs>
          <w:tab w:val="num" w:pos="2880"/>
        </w:tabs>
        <w:ind w:left="2880" w:hanging="360"/>
      </w:pPr>
      <w:rPr>
        <w:rFonts w:ascii="Wingdings" w:hAnsi="Wingdings" w:hint="default"/>
      </w:rPr>
    </w:lvl>
    <w:lvl w:ilvl="4" w:tplc="0BCE2E54">
      <w:start w:val="1"/>
      <w:numFmt w:val="bullet"/>
      <w:lvlText w:val=""/>
      <w:lvlJc w:val="left"/>
      <w:pPr>
        <w:tabs>
          <w:tab w:val="num" w:pos="3600"/>
        </w:tabs>
        <w:ind w:left="3600" w:hanging="360"/>
      </w:pPr>
      <w:rPr>
        <w:rFonts w:ascii="Wingdings" w:hAnsi="Wingdings" w:hint="default"/>
      </w:rPr>
    </w:lvl>
    <w:lvl w:ilvl="5" w:tplc="B64057D6">
      <w:start w:val="1"/>
      <w:numFmt w:val="bullet"/>
      <w:lvlText w:val=""/>
      <w:lvlJc w:val="left"/>
      <w:pPr>
        <w:tabs>
          <w:tab w:val="num" w:pos="4320"/>
        </w:tabs>
        <w:ind w:left="4320" w:hanging="360"/>
      </w:pPr>
      <w:rPr>
        <w:rFonts w:ascii="Wingdings" w:hAnsi="Wingdings" w:hint="default"/>
      </w:rPr>
    </w:lvl>
    <w:lvl w:ilvl="6" w:tplc="0E868D9A">
      <w:start w:val="1"/>
      <w:numFmt w:val="bullet"/>
      <w:lvlText w:val=""/>
      <w:lvlJc w:val="left"/>
      <w:pPr>
        <w:tabs>
          <w:tab w:val="num" w:pos="5040"/>
        </w:tabs>
        <w:ind w:left="5040" w:hanging="360"/>
      </w:pPr>
      <w:rPr>
        <w:rFonts w:ascii="Wingdings" w:hAnsi="Wingdings" w:hint="default"/>
      </w:rPr>
    </w:lvl>
    <w:lvl w:ilvl="7" w:tplc="C18C9E42">
      <w:start w:val="1"/>
      <w:numFmt w:val="bullet"/>
      <w:lvlText w:val=""/>
      <w:lvlJc w:val="left"/>
      <w:pPr>
        <w:tabs>
          <w:tab w:val="num" w:pos="5760"/>
        </w:tabs>
        <w:ind w:left="5760" w:hanging="360"/>
      </w:pPr>
      <w:rPr>
        <w:rFonts w:ascii="Wingdings" w:hAnsi="Wingdings" w:hint="default"/>
      </w:rPr>
    </w:lvl>
    <w:lvl w:ilvl="8" w:tplc="C0D2BB3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EF"/>
    <w:rsid w:val="00171EA0"/>
    <w:rsid w:val="001A7ED2"/>
    <w:rsid w:val="001A7F11"/>
    <w:rsid w:val="001D3E3C"/>
    <w:rsid w:val="001D58D1"/>
    <w:rsid w:val="00335C06"/>
    <w:rsid w:val="004246D7"/>
    <w:rsid w:val="00430811"/>
    <w:rsid w:val="00492F2E"/>
    <w:rsid w:val="0049628E"/>
    <w:rsid w:val="00570410"/>
    <w:rsid w:val="005829DC"/>
    <w:rsid w:val="00611BA4"/>
    <w:rsid w:val="006A133A"/>
    <w:rsid w:val="00833A06"/>
    <w:rsid w:val="00877DD3"/>
    <w:rsid w:val="0090058F"/>
    <w:rsid w:val="00A710E0"/>
    <w:rsid w:val="00A80CE7"/>
    <w:rsid w:val="00A97C7C"/>
    <w:rsid w:val="00B035D9"/>
    <w:rsid w:val="00BB020E"/>
    <w:rsid w:val="00BC5D2B"/>
    <w:rsid w:val="00CF6ABB"/>
    <w:rsid w:val="00D146EF"/>
    <w:rsid w:val="00DB4F4F"/>
    <w:rsid w:val="00E547F3"/>
    <w:rsid w:val="00EE1F6A"/>
    <w:rsid w:val="00F123D7"/>
    <w:rsid w:val="00F449D3"/>
    <w:rsid w:val="00F94407"/>
    <w:rsid w:val="00FF53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17FF"/>
  <w15:chartTrackingRefBased/>
  <w15:docId w15:val="{DB45AE39-EC81-4810-BCE1-BC589082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7ED2"/>
    <w:rPr>
      <w:color w:val="0563C1" w:themeColor="hyperlink"/>
      <w:u w:val="single"/>
    </w:rPr>
  </w:style>
  <w:style w:type="paragraph" w:styleId="Odlomakpopisa">
    <w:name w:val="List Paragraph"/>
    <w:basedOn w:val="Normal"/>
    <w:uiPriority w:val="34"/>
    <w:qFormat/>
    <w:rsid w:val="001A7ED2"/>
    <w:pPr>
      <w:spacing w:after="0" w:line="240" w:lineRule="auto"/>
      <w:ind w:left="720"/>
      <w:contextualSpacing/>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1A7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16126">
      <w:bodyDiv w:val="1"/>
      <w:marLeft w:val="0"/>
      <w:marRight w:val="0"/>
      <w:marTop w:val="0"/>
      <w:marBottom w:val="0"/>
      <w:divBdr>
        <w:top w:val="none" w:sz="0" w:space="0" w:color="auto"/>
        <w:left w:val="none" w:sz="0" w:space="0" w:color="auto"/>
        <w:bottom w:val="none" w:sz="0" w:space="0" w:color="auto"/>
        <w:right w:val="none" w:sz="0" w:space="0" w:color="auto"/>
      </w:divBdr>
    </w:div>
    <w:div w:id="14837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09_100_1801.html" TargetMode="External"/><Relationship Id="rId3" Type="http://schemas.openxmlformats.org/officeDocument/2006/relationships/settings" Target="settings.xml"/><Relationship Id="rId7" Type="http://schemas.openxmlformats.org/officeDocument/2006/relationships/hyperlink" Target="https://narodne-novine.nn.hr/clanci/sluzbeni/2020_04_43_89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odne-novine.nn.hr/clanci/sluzbeni/2019_09_82_1709.html" TargetMode="External"/><Relationship Id="rId11" Type="http://schemas.openxmlformats.org/officeDocument/2006/relationships/fontTable" Target="fontTable.xml"/><Relationship Id="rId5" Type="http://schemas.openxmlformats.org/officeDocument/2006/relationships/hyperlink" Target="https://narodne-novine.nn.hr/clanci/sluzbeni/2010_09_112_2973.html" TargetMode="External"/><Relationship Id="rId10" Type="http://schemas.openxmlformats.org/officeDocument/2006/relationships/hyperlink" Target="https://narodne-novine.nn.hr/clanci/sluzbeni/2019_01_10_215.html" TargetMode="External"/><Relationship Id="rId4" Type="http://schemas.openxmlformats.org/officeDocument/2006/relationships/webSettings" Target="webSettings.xml"/><Relationship Id="rId9" Type="http://schemas.openxmlformats.org/officeDocument/2006/relationships/hyperlink" Target="https://narodne-novine.nn.hr/clanci/sluzbeni/2019_01_10_215.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2220</Words>
  <Characters>12658</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Mesić</dc:creator>
  <cp:keywords/>
  <dc:description/>
  <cp:lastModifiedBy>Nikolina Mesić</cp:lastModifiedBy>
  <cp:revision>11</cp:revision>
  <dcterms:created xsi:type="dcterms:W3CDTF">2024-09-24T12:44:00Z</dcterms:created>
  <dcterms:modified xsi:type="dcterms:W3CDTF">2024-09-25T11:32:00Z</dcterms:modified>
</cp:coreProperties>
</file>