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KRITERIJI vrednovanja za predmet</w:t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48"/>
          <w:szCs w:val="48"/>
        </w:rPr>
        <w:t>KEMIJA</w:t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Default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Default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Aktiv kemije: Snježana Meter,prof.mentor</w:t>
      </w:r>
    </w:p>
    <w:p>
      <w:pPr>
        <w:pStyle w:val="Default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</w:t>
      </w:r>
      <w:r>
        <w:rPr>
          <w:rFonts w:cs="Times New Roman"/>
          <w:b/>
          <w:bCs/>
          <w:sz w:val="28"/>
          <w:szCs w:val="28"/>
        </w:rPr>
        <w:t>Darko Petković ,prof.mentor</w:t>
      </w:r>
    </w:p>
    <w:p>
      <w:pPr>
        <w:pStyle w:val="Default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Default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Default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ELEMENTI I KRITERIJI OCJENJIVANJA ZA KEMIJU</w:t>
      </w:r>
    </w:p>
    <w:p>
      <w:pPr>
        <w:pStyle w:val="Default"/>
        <w:rPr>
          <w:rFonts w:cs="TrebuchetMS"/>
        </w:rPr>
      </w:pPr>
      <w:r>
        <w:rPr>
          <w:rFonts w:cs="TrebuchetMS"/>
        </w:rPr>
      </w:r>
    </w:p>
    <w:p>
      <w:pPr>
        <w:pStyle w:val="Default"/>
        <w:rPr>
          <w:rFonts w:cs="TrebuchetMS"/>
        </w:rPr>
      </w:pPr>
      <w:r>
        <w:rPr>
          <w:rFonts w:cs="TrebuchetMS"/>
        </w:rPr>
      </w:r>
    </w:p>
    <w:p>
      <w:pPr>
        <w:pStyle w:val="Normal"/>
        <w:spacing w:lineRule="auto" w:line="240" w:before="0" w:after="0"/>
        <w:rPr>
          <w:rFonts w:cs="TrebuchetMS"/>
          <w:b/>
          <w:b/>
          <w:sz w:val="24"/>
          <w:szCs w:val="24"/>
        </w:rPr>
      </w:pPr>
      <w:r>
        <w:rPr>
          <w:rFonts w:cs="TrebuchetMS"/>
          <w:b/>
          <w:sz w:val="24"/>
          <w:szCs w:val="24"/>
        </w:rPr>
        <w:t>1.1. ELEMENTI OCJENJIVANJA I OBLICI PROVJERE UČENIČKIH POSTIGNUĆA</w:t>
      </w:r>
    </w:p>
    <w:p>
      <w:pPr>
        <w:pStyle w:val="Normal"/>
        <w:spacing w:lineRule="auto" w:line="240" w:before="0" w:after="0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  <w:t xml:space="preserve">Elementi ocjenjivanja učeničkih postignuća iz nastavnog predmeta </w:t>
      </w:r>
      <w:r>
        <w:rPr>
          <w:rFonts w:cs="TrebuchetMS"/>
          <w:b/>
          <w:sz w:val="24"/>
          <w:szCs w:val="24"/>
        </w:rPr>
        <w:t>kemija</w:t>
      </w:r>
      <w:r>
        <w:rPr>
          <w:rFonts w:cs="TrebuchetMS"/>
          <w:sz w:val="24"/>
          <w:szCs w:val="24"/>
        </w:rPr>
        <w:t xml:space="preserve"> su:</w:t>
      </w:r>
    </w:p>
    <w:p>
      <w:pPr>
        <w:pStyle w:val="Normal"/>
        <w:spacing w:lineRule="auto" w:line="240" w:before="0" w:after="0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TrebuchetMS,BoldItalic"/>
          <w:b/>
          <w:b/>
          <w:bCs/>
          <w:i/>
          <w:i/>
          <w:iCs/>
          <w:sz w:val="24"/>
          <w:szCs w:val="24"/>
        </w:rPr>
      </w:pPr>
      <w:r>
        <w:rPr>
          <w:rFonts w:eastAsia="TrebuchetMS,BoldItalic"/>
          <w:b/>
          <w:bCs/>
          <w:i/>
          <w:iCs/>
          <w:sz w:val="24"/>
          <w:szCs w:val="24"/>
        </w:rPr>
        <w:t>usvojenost kemijskih koncepata</w:t>
      </w:r>
    </w:p>
    <w:p>
      <w:pPr>
        <w:pStyle w:val="Normal"/>
        <w:spacing w:lineRule="auto" w:line="240" w:before="0" w:after="0"/>
        <w:rPr>
          <w:rFonts w:eastAsia="TrebuchetMS,BoldItalic"/>
          <w:b/>
          <w:b/>
          <w:bCs/>
          <w:i/>
          <w:i/>
          <w:iCs/>
          <w:sz w:val="24"/>
          <w:szCs w:val="24"/>
        </w:rPr>
      </w:pPr>
      <w:r>
        <w:rPr>
          <w:rFonts w:eastAsia="TrebuchetMS,BoldItalic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TrebuchetMS,BoldItalic"/>
          <w:b/>
          <w:b/>
          <w:bCs/>
          <w:i/>
          <w:i/>
          <w:iCs/>
          <w:sz w:val="24"/>
          <w:szCs w:val="24"/>
        </w:rPr>
      </w:pPr>
      <w:r>
        <w:rPr>
          <w:rFonts w:eastAsia="TrebuchetMS,BoldItalic"/>
          <w:b/>
          <w:bCs/>
          <w:i/>
          <w:iCs/>
          <w:sz w:val="24"/>
          <w:szCs w:val="24"/>
        </w:rPr>
        <w:t>prirodoznanstvene vještine.</w:t>
      </w:r>
    </w:p>
    <w:p>
      <w:pPr>
        <w:pStyle w:val="Normal"/>
        <w:spacing w:lineRule="auto" w:line="240" w:before="0" w:after="0"/>
        <w:rPr>
          <w:rFonts w:eastAsia="TrebuchetMS,BoldItalic"/>
          <w:b/>
          <w:b/>
          <w:bCs/>
          <w:i/>
          <w:i/>
          <w:iCs/>
          <w:sz w:val="24"/>
          <w:szCs w:val="24"/>
        </w:rPr>
      </w:pPr>
      <w:r>
        <w:rPr>
          <w:rFonts w:eastAsia="TrebuchetMS,BoldItalic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TrebuchetMS,BoldItalic"/>
          <w:b/>
          <w:b/>
          <w:bCs/>
          <w:i/>
          <w:i/>
          <w:iCs/>
          <w:sz w:val="24"/>
          <w:szCs w:val="24"/>
        </w:rPr>
      </w:pPr>
      <w:r>
        <w:rPr>
          <w:rFonts w:eastAsia="TrebuchetMS,BoldItalic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TrebuchetMS,BoldItalic"/>
          <w:b/>
          <w:b/>
          <w:bCs/>
          <w:i/>
          <w:i/>
          <w:iCs/>
          <w:sz w:val="24"/>
          <w:szCs w:val="24"/>
        </w:rPr>
      </w:pPr>
      <w:r>
        <w:rPr>
          <w:rFonts w:eastAsia="TrebuchetMS,BoldItalic"/>
          <w:b/>
          <w:bCs/>
          <w:i/>
          <w:iCs/>
          <w:sz w:val="24"/>
          <w:szCs w:val="24"/>
        </w:rPr>
      </w:r>
    </w:p>
    <w:p>
      <w:pPr>
        <w:pStyle w:val="Default"/>
        <w:jc w:val="both"/>
        <w:rPr/>
      </w:pPr>
      <w:r>
        <w:rPr>
          <w:rFonts w:eastAsia="TrebuchetMS,BoldItalic"/>
          <w:b/>
          <w:bCs/>
          <w:i/>
          <w:iCs/>
        </w:rPr>
        <w:t>Usvojenost kemijskih koncepata</w:t>
      </w:r>
      <w:r>
        <w:rPr>
          <w:rFonts w:cs="TrebuchetMS"/>
        </w:rPr>
        <w:t xml:space="preserve"> </w:t>
      </w:r>
      <w:r>
        <w:rPr>
          <w:sz w:val="23"/>
          <w:szCs w:val="23"/>
        </w:rPr>
        <w:t>obuhvaća postignuća u kognitivnoj ili spoznajnoj domeni razvoja. U sklopu te sastavnice vrednuje se poznavanje temeljnih pojmova i stručnog nazivlja, razumijevanje pojmova i procesa u živom svijetu, objašnjavanje međuodnosa i uzročno-posljedičnih veza .</w:t>
      </w:r>
    </w:p>
    <w:p>
      <w:pPr>
        <w:pStyle w:val="Normal"/>
        <w:spacing w:lineRule="auto" w:line="240" w:before="0" w:after="0"/>
        <w:jc w:val="both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</w:r>
    </w:p>
    <w:p>
      <w:pPr>
        <w:pStyle w:val="Default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eastAsia="TrebuchetMS,BoldItalic"/>
          <w:b/>
          <w:b/>
          <w:bCs/>
          <w:i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rebuchetMS,BoldItalic"/>
          <w:b/>
          <w:bCs/>
          <w:i/>
          <w:iCs/>
          <w:sz w:val="24"/>
          <w:szCs w:val="24"/>
        </w:rPr>
        <w:t xml:space="preserve">Prirodoznanstvene vještine </w:t>
      </w:r>
      <w:r>
        <w:rPr>
          <w:sz w:val="24"/>
          <w:szCs w:val="24"/>
        </w:rPr>
        <w:t xml:space="preserve">podrazumijevaju primjenu usvojenih kemijskih zakonitosti i teorija na primjerima iz okruženja, tumačenja novih (vlastitih) primjera i rješavanje problema i zadataka. U ovoj se sastavnici ocjenjuje učenikova sposobnost i vještina prikazivanja dostupnih podataka o nekoj pojavi ili procesu na znanstveni način te razvrstavanja u glavne kategorije, raspravljanja problema (pojave) s različitih motrišta, smislenog raščlanjivanja problema (tabelarni prikaz, grafikon) i prikazivanja međuodnosa. U sklopu ove sastavnice vrednuju se i samostalni praktični radovi, učenikova aktivnost tijekom nastavnog procesa, domaći uradci, prezentacije, plakati i seminarski radovi. 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color w:val="000000"/>
          <w:sz w:val="20"/>
          <w:szCs w:val="20"/>
          <w:lang w:eastAsia="hr-HR"/>
        </w:rPr>
      </w:pPr>
      <w:r>
        <w:rPr>
          <w:rFonts w:cs="Verdana" w:ascii="Verdana" w:hAnsi="Verdana"/>
          <w:color w:val="000000"/>
          <w:sz w:val="20"/>
          <w:szCs w:val="20"/>
          <w:lang w:eastAsia="hr-HR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Afektivno područje razvoja, iskazano kroz </w:t>
      </w:r>
      <w:r>
        <w:rPr>
          <w:b/>
          <w:bCs/>
          <w:sz w:val="24"/>
          <w:szCs w:val="24"/>
        </w:rPr>
        <w:t xml:space="preserve">Odnos učenika prema radu </w:t>
      </w:r>
      <w:r>
        <w:rPr>
          <w:sz w:val="24"/>
          <w:szCs w:val="24"/>
        </w:rPr>
        <w:t>u pravilu se prati bilješkama i ocjenjuje opisno.</w:t>
      </w:r>
      <w:r>
        <w:rPr>
          <w:rFonts w:cs="Verdana" w:ascii="Verdana" w:hAnsi="Verdana"/>
          <w:color w:val="000000"/>
          <w:sz w:val="20"/>
          <w:szCs w:val="20"/>
          <w:lang w:eastAsia="hr-HR"/>
        </w:rPr>
        <w:t xml:space="preserve"> Ta se ocjena također uzima u obzir pri konačnom zaključivanju ocjene. </w:t>
      </w:r>
    </w:p>
    <w:p>
      <w:pPr>
        <w:pStyle w:val="Normal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both"/>
        <w:rPr/>
      </w:pPr>
      <w:r>
        <w:rPr>
          <w:b/>
          <w:bCs/>
        </w:rPr>
        <w:t xml:space="preserve">Provjeravanje i ocjenjivanje uspjeha učenika provodi se prema Pravilniku o načinima, postupcima i elementima vrednovanja u osnovnoj i srednjoj školi. 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both"/>
        <w:rPr/>
      </w:pPr>
      <w:r>
        <w:rPr>
          <w:b/>
          <w:bCs/>
        </w:rPr>
        <w:t xml:space="preserve">Usmeno provjeravanje i ocjenjivanje učenikova znanja </w:t>
      </w:r>
      <w:r>
        <w:rPr/>
        <w:t xml:space="preserve">provodi se sustavno, u pravilu na svakom nastavnom satu, bez obveze najave. 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both"/>
        <w:rPr/>
      </w:pPr>
      <w:r>
        <w:rPr>
          <w:b/>
          <w:bCs/>
        </w:rPr>
        <w:t xml:space="preserve">Pismeno provjeravanje i ocjenjivanje učenikova znanja </w:t>
      </w:r>
      <w:r>
        <w:rPr/>
        <w:t xml:space="preserve">provodi se minimalno četiri puta godišnje i objavljuje u kalendaru pismenih provjera znanja. </w:t>
      </w:r>
    </w:p>
    <w:p>
      <w:pPr>
        <w:pStyle w:val="Default"/>
        <w:jc w:val="both"/>
        <w:rPr>
          <w:rFonts w:cs="TrebuchetMS"/>
          <w:b/>
          <w:b/>
        </w:rPr>
      </w:pPr>
      <w:r>
        <w:rPr>
          <w:rFonts w:cs="TrebuchetMS"/>
          <w:b/>
        </w:rPr>
      </w:r>
    </w:p>
    <w:p>
      <w:pPr>
        <w:pStyle w:val="Default"/>
        <w:jc w:val="both"/>
        <w:rPr>
          <w:rFonts w:cs="TrebuchetMS"/>
          <w:b/>
          <w:b/>
        </w:rPr>
      </w:pPr>
      <w:r>
        <w:rPr>
          <w:rFonts w:cs="TrebuchetMS"/>
          <w:b/>
        </w:rPr>
      </w:r>
    </w:p>
    <w:p>
      <w:pPr>
        <w:pStyle w:val="Default"/>
        <w:jc w:val="both"/>
        <w:rPr>
          <w:rFonts w:cs="TrebuchetMS"/>
          <w:b/>
          <w:b/>
        </w:rPr>
      </w:pPr>
      <w:r>
        <w:rPr>
          <w:rFonts w:cs="TrebuchetMS"/>
          <w:b/>
        </w:rPr>
      </w:r>
    </w:p>
    <w:p>
      <w:pPr>
        <w:pStyle w:val="Default"/>
        <w:jc w:val="both"/>
        <w:rPr>
          <w:rFonts w:cs="TrebuchetMS"/>
          <w:b/>
          <w:b/>
        </w:rPr>
      </w:pPr>
      <w:r>
        <w:rPr>
          <w:rFonts w:cs="TrebuchetMS"/>
          <w:b/>
        </w:rPr>
      </w:r>
    </w:p>
    <w:p>
      <w:pPr>
        <w:pStyle w:val="Default"/>
        <w:jc w:val="both"/>
        <w:rPr>
          <w:rFonts w:cs="TrebuchetMS"/>
          <w:b/>
          <w:b/>
        </w:rPr>
      </w:pPr>
      <w:r>
        <w:rPr>
          <w:rFonts w:cs="TrebuchetMS"/>
          <w:b/>
        </w:rPr>
      </w:r>
    </w:p>
    <w:p>
      <w:pPr>
        <w:pStyle w:val="Default"/>
        <w:jc w:val="both"/>
        <w:rPr>
          <w:rFonts w:cs="TrebuchetMS"/>
          <w:b/>
          <w:b/>
        </w:rPr>
      </w:pPr>
      <w:r>
        <w:rPr>
          <w:rFonts w:cs="TrebuchetMS"/>
          <w:b/>
        </w:rPr>
        <w:t>1.2. KRITERIJI OCJENJIVANJA UČENIČKIH POSTIGNUĆA</w:t>
      </w:r>
    </w:p>
    <w:p>
      <w:pPr>
        <w:pStyle w:val="Default"/>
        <w:rPr>
          <w:rFonts w:cs="TrebuchetMS"/>
          <w:b/>
          <w:b/>
        </w:rPr>
      </w:pPr>
      <w:r>
        <w:rPr>
          <w:rFonts w:cs="TrebuchetMS"/>
          <w:b/>
        </w:rPr>
      </w:r>
    </w:p>
    <w:p>
      <w:pPr>
        <w:pStyle w:val="Default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8362"/>
      </w:tblGrid>
      <w:tr>
        <w:trPr/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USVOJENOST PROGRAMSKIH SADRŽAJA- usmeno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OCJENA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center"/>
              <w:rPr>
                <w:rFonts w:cs="TrebuchetMS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OPIS POSTIGNUĆA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- učenik samostalno iznosi činjenice, povezuje i generalizira pojmove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samostalno opisuje i objašnjava različite procese, samostalno navodi vlastite primjere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- učenik povezuje podatke prikazane grafovima, slikama ili u tablicama i samostalno interpretira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se jasno i argumentirano izražava prilikom odgovaranja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samostalno rješava i složenije zadatke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se koristi dodatnim izvorima znanja i informacijama iz različitih izvora</w:t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uspješno izvršava korelaciju sa srodnim sadržajima drugih predmeta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- učenik samostalno iznosi činjenice, povezuje i generalizira pojmove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pravilno objašnjava i primjenjuje većinu pojmova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uglavnom samostalno opisuje tijek nekog procesa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- učenik povezuje podatke prikazane grafovima, slikama ili u tablicama i interpretira ih uz pomoć nastavnika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samostalno rješava jednostavne, a uz pomoć nastavnika i složenije zadatke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uspješno izvršava korelaciju sa srodnim sadržajima drugih predmeta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poznaje osnovne pojmove, te ih interpretira i primjenjuje činjenično znanje uz potpitanja nastavnika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TrebuchetMS"/>
                <w:sz w:val="24"/>
                <w:szCs w:val="24"/>
              </w:rPr>
              <w:t>- učenik obrazlaže sadržaj koristeći zadane primjere uz intervenciju nastavnika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rješava jednostavne zadatke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- učenik povezuje podatke prikazane grafovima, slikama ili u tablicama ali ih interpretira uz pomoć nastavnika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- učenik jasno izlaže sadržaj, ali je nejasan u argumentiranju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prepoznaje osnovne pojmove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se prisjeća dijelova nastavnih sadržaja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 učenik navodi osnovne faze nekog procesa, ali ih ne može samostalno opisati i izvesti zaključke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- učenik prepoznaje podatke prikazane grafovima, slikama ili u tablicama ali ih ne može samostalno interpretirati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-učenik ne prepoznaje osnovne pojmove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rebuchetMS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-učenik nije u mogućnosti dati točne i relevantne odgovore niti uz potpitanja nastavnika</w:t>
            </w:r>
            <w:r>
              <w:rPr>
                <w:rFonts w:cs="TrebuchetMS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- učenik grafove, slike ili tablične podatke ne povezuje i ne može ih interpretirati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</w:tbl>
    <w:p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  <w:t>USVOJENOST PROGRAMSKI SADRŽAJA- PISMENO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both"/>
        <w:rPr>
          <w:bCs/>
        </w:rPr>
      </w:pPr>
      <w:r>
        <w:rPr>
          <w:bCs/>
        </w:rPr>
        <w:t>Tijekom nastavne godine učeničko znanje će se na ovaj način provjeravati četiri puta godišnje: dva u prvom i dva u drugom polugodištu ( u skladu s postojećim zakonskim odredbama). Učenici na ovaj način rješavaju prethodno najavljenu pisanu zadaću u trajanju od 45 minuta. Svaki pismeni rad ima vlastite kriterije bodovanja koje nastavnik određuje prije pisanja pismene provjere. Nakon pisanja pismene provjere ti se kriteriji predočavaju i učenicima na satu analize pismene provjere. Brojčana ocjena učeničkog znanja donosi se temeljem slijedeće bodovne skale:</w:t>
      </w:r>
    </w:p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jc w:val="both"/>
        <w:rPr>
          <w:bCs/>
        </w:rPr>
      </w:pPr>
      <w:r>
        <w:rPr>
          <w:bCs/>
        </w:rPr>
        <w:t>0-48%- ocjena nedovoljan</w:t>
      </w:r>
    </w:p>
    <w:p>
      <w:pPr>
        <w:pStyle w:val="Default"/>
        <w:jc w:val="both"/>
        <w:rPr>
          <w:bCs/>
        </w:rPr>
      </w:pPr>
      <w:r>
        <w:rPr>
          <w:bCs/>
        </w:rPr>
        <w:t>49-50% - ocjena dovoljan</w:t>
      </w:r>
    </w:p>
    <w:p>
      <w:pPr>
        <w:pStyle w:val="Default"/>
        <w:jc w:val="both"/>
        <w:rPr>
          <w:bCs/>
        </w:rPr>
      </w:pPr>
      <w:r>
        <w:rPr>
          <w:bCs/>
        </w:rPr>
        <w:t>51-70%- ocjena dobar</w:t>
      </w:r>
    </w:p>
    <w:p>
      <w:pPr>
        <w:pStyle w:val="Default"/>
        <w:jc w:val="both"/>
        <w:rPr>
          <w:bCs/>
        </w:rPr>
      </w:pPr>
      <w:r>
        <w:rPr>
          <w:bCs/>
        </w:rPr>
        <w:t>71- 85% - ocjena vrlo dobar</w:t>
      </w:r>
    </w:p>
    <w:p>
      <w:pPr>
        <w:pStyle w:val="Default"/>
        <w:jc w:val="both"/>
        <w:rPr>
          <w:bCs/>
        </w:rPr>
      </w:pPr>
      <w:r>
        <w:rPr>
          <w:bCs/>
        </w:rPr>
        <w:t>86-100% - ocjena odličan.</w:t>
      </w:r>
    </w:p>
    <w:p>
      <w:pPr>
        <w:pStyle w:val="Default"/>
        <w:jc w:val="both"/>
        <w:rPr>
          <w:bCs/>
        </w:rPr>
      </w:pPr>
      <w:r>
        <w:rPr>
          <w:bCs/>
        </w:rPr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8362"/>
      </w:tblGrid>
      <w:tr>
        <w:trPr/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PRIRODOZNANSTVENE VJEŠTINE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OCJENA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center"/>
              <w:rPr>
                <w:rFonts w:cs="TrebuchetMS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OPIS POSTIGNUĆA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  <w:tr>
        <w:trPr>
          <w:trHeight w:val="1803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3"/>
                <w:szCs w:val="23"/>
                <w:lang w:eastAsia="hr-HR"/>
              </w:rPr>
            </w:pPr>
            <w:r>
              <w:rPr>
                <w:rFonts w:cs="Calibri"/>
                <w:color w:val="000000"/>
                <w:sz w:val="23"/>
                <w:szCs w:val="23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3"/>
                <w:szCs w:val="23"/>
                <w:lang w:eastAsia="hr-HR"/>
              </w:rPr>
            </w:pPr>
            <w:r>
              <w:rPr>
                <w:rFonts w:cs="Calibri"/>
                <w:color w:val="000000"/>
                <w:sz w:val="23"/>
                <w:szCs w:val="23"/>
                <w:lang w:eastAsia="hr-HR"/>
              </w:rPr>
              <w:t>-učenik samostalno, brzo i točno rješava problemske zadatke, stečeno znanje primjenjuje u svim situacijama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Calibri"/>
                <w:color w:val="000000"/>
                <w:sz w:val="23"/>
                <w:szCs w:val="23"/>
                <w:lang w:eastAsia="hr-HR"/>
              </w:rPr>
              <w:t>-učenik redovito izrađuje domaće zadaće , izrazito se trudi i vrlo rijetko griješi, uključuje se u rasprave, komentira i postavlja pitanja, samostalne praktične radove izrađuje korektno, na vrijeme, prezentacije ili plakati i seminarski radovi su pregledni, točni i kreativni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učenik samostalno i točno rješava problemske zadatke te stečeno znanje primjenjuje u novim situacijama uz poticaj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učenik redovito izrađuje domaće zadaće, izrazito se trudi i griješi u rješavanju složenijih zadataka, uključuje se u rasprave, komentira i postavlja pitanja, samostalne praktične radove izrađuje precizno, na vrijeme, prezentacije ili plakati i seminarski radovi su pregledni, točni ali u izražavanju iskazuje nepreciznost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učenik rješava jednostavnije zadatke, stečeno znanje primjenjuje u novim situacijama uz pomoć nastavnika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učenik uglavnom izrađuje domaće zadaće, ali su često nepotpune ili s greškama, ponekad se uključuje u raspravu, samostalne praktične radove izrađuje na vrijeme, ali površno, prezentacije ili plakati i seminarski radovi su također načinjeni površno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učenik rješava vrlo jednostavne zadatke, stečeno znanje primjenjuje uz veću pomoć nastavnika i drugih učenika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učenik rijetko izrađuje domaće zadaće, nepotpuno i s greškama, uglavnom se ne uključuje u rasprave, kasni s izradom samostalnog praktičnog rada, prezentacije ili plakati i seminarski radovi su oskudni i neprikladni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učenik nije u mogućnosti primijeniti najosnovnija znanja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učenik ne izrađuje domaće zadaće, kao ni samostalne praktične radove, prezentacije ili plakate i seminarske radove, ne uključuje se u rasprave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/>
          <w:b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eastAsia="TrebuchetMS,BoldItalic"/>
          <w:b/>
          <w:b/>
          <w:bCs/>
          <w:iCs/>
          <w:sz w:val="24"/>
          <w:szCs w:val="24"/>
        </w:rPr>
      </w:pPr>
      <w:r>
        <w:rPr>
          <w:rFonts w:eastAsia="TrebuchetMS,BoldItalic"/>
          <w:b/>
          <w:bCs/>
          <w:iCs/>
          <w:sz w:val="24"/>
          <w:szCs w:val="24"/>
        </w:rPr>
        <w:t>1.3. UTVRĐIVANJE ZAKLJUČNE OCJENE</w:t>
      </w:r>
    </w:p>
    <w:p>
      <w:pPr>
        <w:pStyle w:val="Normal"/>
        <w:spacing w:lineRule="auto" w:line="240" w:before="0" w:after="0"/>
        <w:jc w:val="both"/>
        <w:rPr>
          <w:rFonts w:eastAsia="TrebuchetMS,BoldItalic"/>
          <w:b/>
          <w:b/>
          <w:bCs/>
          <w:i/>
          <w:i/>
          <w:iCs/>
          <w:sz w:val="24"/>
          <w:szCs w:val="24"/>
        </w:rPr>
      </w:pPr>
      <w:r>
        <w:rPr>
          <w:rFonts w:eastAsia="TrebuchetMS,BoldItalic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rebuchetMS,BoldItalic"/>
          <w:sz w:val="24"/>
          <w:szCs w:val="24"/>
        </w:rPr>
      </w:pPr>
      <w:r>
        <w:rPr>
          <w:rFonts w:eastAsia="TrebuchetMS,BoldItalic"/>
          <w:sz w:val="24"/>
          <w:szCs w:val="24"/>
        </w:rPr>
        <w:t xml:space="preserve">Utvrđivanje zaključne ocjene </w:t>
      </w:r>
      <w:r>
        <w:rPr>
          <w:rFonts w:eastAsia="TrebuchetMS,BoldItalic"/>
          <w:b/>
          <w:bCs/>
          <w:sz w:val="24"/>
          <w:szCs w:val="24"/>
        </w:rPr>
        <w:t xml:space="preserve">ne mora </w:t>
      </w:r>
      <w:r>
        <w:rPr>
          <w:rFonts w:eastAsia="TrebuchetMS,BoldItalic"/>
          <w:sz w:val="24"/>
          <w:szCs w:val="24"/>
        </w:rPr>
        <w:t>biti aritmetička sredina ocjena upisanih u ocjensku rešetku Imenika. Zaključna ocjena izvodi se prema prevladavajućoj ocjeni iz elemenata ocjenjivanja. Sve ocjene iz elemenata ocjenjivanja imaju jednaku vrijednost. Opisne ocjene</w:t>
      </w:r>
      <w:r>
        <w:rPr>
          <w:rFonts w:cs="Verdana" w:ascii="Verdana" w:hAnsi="Verdana"/>
          <w:color w:val="000000"/>
          <w:sz w:val="20"/>
          <w:szCs w:val="20"/>
          <w:lang w:eastAsia="hr-HR"/>
        </w:rPr>
        <w:t xml:space="preserve"> također se uzimaju u obzir pri konačnom zaključivanju ocjene.</w:t>
      </w:r>
      <w:r>
        <w:rPr>
          <w:rFonts w:eastAsia="TrebuchetMS,BoldItalic" w:cs="Verdana" w:ascii="Verdana" w:hAnsi="Verdana"/>
          <w:color w:val="000000"/>
          <w:sz w:val="24"/>
          <w:szCs w:val="24"/>
          <w:lang w:eastAsia="hr-HR"/>
        </w:rPr>
        <w:t xml:space="preserve"> </w:t>
      </w:r>
      <w:r>
        <w:rPr>
          <w:rFonts w:eastAsia="TrebuchetMS,BoldItalic" w:cs="Verdana" w:ascii="Verdana" w:hAnsi="Verdana"/>
          <w:color w:val="000000"/>
          <w:sz w:val="22"/>
          <w:szCs w:val="22"/>
          <w:lang w:eastAsia="hr-HR"/>
        </w:rPr>
        <w:t xml:space="preserve">Učenik mora imati pozitivne ocjene iz svih sadržaja . </w:t>
      </w:r>
    </w:p>
    <w:p>
      <w:pPr>
        <w:pStyle w:val="Normal"/>
        <w:spacing w:lineRule="auto" w:line="240" w:before="0" w:after="0"/>
        <w:jc w:val="both"/>
        <w:rPr>
          <w:rFonts w:eastAsia="TrebuchetMS,BoldItalic"/>
          <w:sz w:val="24"/>
          <w:szCs w:val="24"/>
        </w:rPr>
      </w:pPr>
      <w:r>
        <w:rPr>
          <w:rFonts w:eastAsia="TrebuchetMS,BoldItalic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rebuchetMS,BoldItalic"/>
          <w:sz w:val="24"/>
          <w:szCs w:val="24"/>
        </w:rPr>
      </w:pPr>
      <w:r>
        <w:rPr>
          <w:rFonts w:eastAsia="TrebuchetMS,BoldItalic"/>
          <w:sz w:val="24"/>
          <w:szCs w:val="24"/>
        </w:rPr>
      </w:r>
    </w:p>
    <w:p>
      <w:pPr>
        <w:pStyle w:val="Default"/>
        <w:jc w:val="both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spacing w:lineRule="auto" w:line="240" w:before="0" w:after="0"/>
        <w:jc w:val="both"/>
        <w:rPr>
          <w:rFonts w:cs="TrebuchetMS"/>
          <w:sz w:val="24"/>
          <w:szCs w:val="24"/>
          <w:lang w:eastAsia="hr-HR"/>
        </w:rPr>
      </w:pPr>
      <w:r>
        <w:rPr>
          <w:rFonts w:cs="TrebuchetMS"/>
          <w:b/>
          <w:sz w:val="24"/>
          <w:szCs w:val="24"/>
          <w:lang w:eastAsia="hr-HR"/>
        </w:rPr>
        <w:t>2. KRITERIJI ZA VREDNOVANJE SAMOSTALNOG RADA</w:t>
      </w:r>
      <w:r>
        <w:rPr>
          <w:rFonts w:cs="TrebuchetMS"/>
          <w:sz w:val="24"/>
          <w:szCs w:val="24"/>
          <w:lang w:eastAsia="hr-HR"/>
        </w:rPr>
        <w:t>:</w:t>
      </w:r>
    </w:p>
    <w:p>
      <w:pPr>
        <w:pStyle w:val="Default"/>
        <w:jc w:val="both"/>
        <w:rPr>
          <w:rFonts w:cs="TrebuchetMS"/>
          <w:lang w:eastAsia="hr-HR"/>
        </w:rPr>
      </w:pPr>
      <w:r>
        <w:rPr>
          <w:rFonts w:cs="TrebuchetMS"/>
          <w:lang w:eastAsia="hr-HR"/>
        </w:rPr>
      </w:r>
    </w:p>
    <w:p>
      <w:pPr>
        <w:pStyle w:val="Default"/>
        <w:jc w:val="both"/>
        <w:rPr>
          <w:b/>
          <w:b/>
          <w:bCs/>
        </w:rPr>
      </w:pPr>
      <w:r>
        <w:rPr>
          <w:rFonts w:cs="TrebuchetMS"/>
          <w:lang w:eastAsia="hr-HR"/>
        </w:rPr>
        <w:t>Samostalni radovi (seminari, ppt prezentacije i plakati) vrednovat će se po sljedećim kriterijima:</w:t>
      </w:r>
    </w:p>
    <w:p>
      <w:pPr>
        <w:pStyle w:val="Default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Default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tbl>
      <w:tblPr>
        <w:tblW w:w="10152" w:type="dxa"/>
        <w:jc w:val="left"/>
        <w:tblInd w:w="-2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812"/>
        <w:gridCol w:w="1812"/>
        <w:gridCol w:w="1992"/>
        <w:gridCol w:w="2098"/>
        <w:gridCol w:w="2438"/>
      </w:tblGrid>
      <w:tr>
        <w:trPr/>
        <w:tc>
          <w:tcPr>
            <w:tcW w:w="1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color="auto" w:fill="DEEBF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</w:r>
          </w:p>
        </w:tc>
        <w:tc>
          <w:tcPr>
            <w:tcW w:w="1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color="auto" w:fill="DEEBF6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dovoljan</w:t>
            </w:r>
          </w:p>
        </w:tc>
        <w:tc>
          <w:tcPr>
            <w:tcW w:w="1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color="auto" w:fill="DEEBF6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dobar</w:t>
            </w:r>
          </w:p>
        </w:tc>
        <w:tc>
          <w:tcPr>
            <w:tcW w:w="2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color="auto" w:fill="DEEBF6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vrlo dobar</w:t>
            </w:r>
          </w:p>
        </w:tc>
        <w:tc>
          <w:tcPr>
            <w:tcW w:w="24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color="auto" w:fill="DEEBF6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odličan</w:t>
            </w:r>
          </w:p>
        </w:tc>
      </w:tr>
      <w:tr>
        <w:trPr/>
        <w:tc>
          <w:tcPr>
            <w:tcW w:w="1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color="auto" w:fill="DEEBF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STRUKTURIRANJE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lang w:eastAsia="hr-HR"/>
              </w:rPr>
              <w:t xml:space="preserve"> SADRŽAJA</w:t>
            </w:r>
          </w:p>
        </w:tc>
        <w:tc>
          <w:tcPr>
            <w:tcW w:w="1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Sadržaj ne odgovara temi.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Nisu korišteni nikakvi primjeri.</w:t>
            </w:r>
          </w:p>
        </w:tc>
        <w:tc>
          <w:tcPr>
            <w:tcW w:w="1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Tema nije dobro prikazana.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Sadržaj je nedovoljno objedinjen i nisu korišteni precizni primjeri ili uopće nema primjera</w:t>
            </w:r>
          </w:p>
        </w:tc>
        <w:tc>
          <w:tcPr>
            <w:tcW w:w="2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Tema je u potpunosti prikazana, ali nisu odabrani precizni primjeri.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val="en-US" w:eastAsia="hr-HR"/>
              </w:rPr>
            </w:pPr>
            <w:r>
              <w:rPr>
                <w:rFonts w:eastAsia="Times New Roman" w:cs="Times New Roman"/>
                <w:lang w:val="en-US"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Sadržaj je sistematičan, ali preopširan.</w:t>
            </w:r>
          </w:p>
        </w:tc>
        <w:tc>
          <w:tcPr>
            <w:tcW w:w="24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Tema je u potpunosti prikazana, uz povezivanje i dodavanje dobro odabranih primjera.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val="en-US" w:eastAsia="hr-HR"/>
              </w:rPr>
            </w:pPr>
            <w:r>
              <w:rPr>
                <w:rFonts w:eastAsia="Times New Roman" w:cs="Times New Roman"/>
                <w:lang w:val="en-US"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Sadržaj je sistematičan.</w:t>
            </w:r>
          </w:p>
        </w:tc>
      </w:tr>
      <w:tr>
        <w:trPr/>
        <w:tc>
          <w:tcPr>
            <w:tcW w:w="1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color="auto" w:fill="DEEBF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TOČNOST PODATAKA</w:t>
            </w:r>
          </w:p>
        </w:tc>
        <w:tc>
          <w:tcPr>
            <w:tcW w:w="1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Postoje bitne pogreške u podatcima.</w:t>
            </w:r>
          </w:p>
        </w:tc>
        <w:tc>
          <w:tcPr>
            <w:tcW w:w="1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Postoje manje pogreške u podacima.</w:t>
            </w:r>
          </w:p>
        </w:tc>
        <w:tc>
          <w:tcPr>
            <w:tcW w:w="2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Svi podaci su točni, ali su na nekim mjestima neprikladno odabrani.</w:t>
            </w:r>
          </w:p>
        </w:tc>
        <w:tc>
          <w:tcPr>
            <w:tcW w:w="24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Svi podaci su točni, jasno prikazani i prikladno odabrani.</w:t>
            </w:r>
          </w:p>
        </w:tc>
      </w:tr>
      <w:tr>
        <w:trPr/>
        <w:tc>
          <w:tcPr>
            <w:tcW w:w="1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color="auto" w:fill="DEEBF6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PRIMJENA (IZLAGANJE)</w:t>
            </w:r>
          </w:p>
        </w:tc>
        <w:tc>
          <w:tcPr>
            <w:tcW w:w="1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Sadržaje slabo povezuje i izlaže nesigurno, potrebna je pomoć pri izlaganju.</w:t>
            </w:r>
          </w:p>
        </w:tc>
        <w:tc>
          <w:tcPr>
            <w:tcW w:w="1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Sadržaje  djelomično povezuje i rijetko primjenjuje.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val="en-US" w:eastAsia="hr-HR"/>
              </w:rPr>
            </w:pPr>
            <w:r>
              <w:rPr>
                <w:rFonts w:eastAsia="Times New Roman" w:cs="Times New Roman"/>
                <w:lang w:val="en-US"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Nije samostalan prilikom izlaganja.</w:t>
            </w:r>
          </w:p>
        </w:tc>
        <w:tc>
          <w:tcPr>
            <w:tcW w:w="2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Sadržaje  povezuje i povremeno primjenjuje.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val="en-US" w:eastAsia="hr-HR"/>
              </w:rPr>
            </w:pPr>
            <w:r>
              <w:rPr>
                <w:rFonts w:eastAsia="Times New Roman" w:cs="Times New Roman"/>
                <w:lang w:val="en-US"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</w:t>
            </w:r>
            <w:r>
              <w:rPr>
                <w:rFonts w:eastAsia="Times New Roman" w:cs="Times New Roman"/>
                <w:lang w:eastAsia="hr-HR"/>
              </w:rPr>
              <w:t>Izlaganje je samostalno i povezano.</w:t>
            </w:r>
          </w:p>
        </w:tc>
        <w:tc>
          <w:tcPr>
            <w:tcW w:w="24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Sadržaje  u potpunosti povezuje i spretno primjenjuje.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val="en-US" w:eastAsia="hr-HR"/>
              </w:rPr>
            </w:pPr>
            <w:r>
              <w:rPr>
                <w:rFonts w:eastAsia="Times New Roman" w:cs="Times New Roman"/>
                <w:lang w:val="en-US"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Izlaže samostalno, točno i jasno.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5c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625c7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LibreOffice/7.0.1.2$Windows_X86_64 LibreOffice_project/7cbcfc562f6eb6708b5ff7d7397325de9e764452</Application>
  <Pages>6</Pages>
  <Words>1104</Words>
  <Characters>7014</Characters>
  <CharactersWithSpaces>8050</CharactersWithSpaces>
  <Paragraphs>104</Paragraphs>
  <Company>T-Hrvatski Telekom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2018-08-30T10:42:00Z</dcterms:created>
  <dc:creator>-dmin78</dc:creator>
  <dc:description/>
  <dc:language>hr-HR</dc:language>
  <cp:lastModifiedBy/>
  <dcterms:modified xsi:type="dcterms:W3CDTF">2024-10-13T21:59:26Z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T-Hrvatski Telekom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